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7" w:firstLineChars="100"/>
        <w:rPr>
          <w:color w:val="000000" w:themeColor="text1"/>
          <w14:textFill>
            <w14:solidFill>
              <w14:schemeClr w14:val="tx1"/>
            </w14:solidFill>
          </w14:textFill>
        </w:rPr>
      </w:pPr>
      <w:bookmarkStart w:id="1" w:name="_GoBack"/>
      <w:bookmarkEnd w:id="1"/>
      <w:r>
        <w:rPr>
          <w:rFonts w:hint="eastAsia" w:ascii="黑体" w:hAnsi="黑体" w:eastAsia="黑体"/>
          <w:color w:val="000000" w:themeColor="text1"/>
          <w:szCs w:val="32"/>
          <w14:textFill>
            <w14:solidFill>
              <w14:schemeClr w14:val="tx1"/>
            </w14:solidFill>
          </w14:textFill>
        </w:rPr>
        <w:t>附件</w:t>
      </w:r>
      <w:r>
        <w:rPr>
          <w:rFonts w:hint="eastAsia" w:ascii="黑体" w:hAnsi="黑体" w:eastAsia="黑体"/>
          <w:color w:val="000000" w:themeColor="text1"/>
          <w:szCs w:val="32"/>
          <w:lang w:val="en-US" w:eastAsia="zh-CN"/>
          <w14:textFill>
            <w14:solidFill>
              <w14:schemeClr w14:val="tx1"/>
            </w14:solidFill>
          </w14:textFill>
        </w:rPr>
        <w:t>1</w:t>
      </w:r>
      <w:r>
        <w:rPr>
          <w:rFonts w:ascii="黑体" w:hAnsi="黑体" w:eastAsia="黑体"/>
          <w:color w:val="000000" w:themeColor="text1"/>
          <w:szCs w:val="32"/>
          <w14:textFill>
            <w14:solidFill>
              <w14:schemeClr w14:val="tx1"/>
            </w14:solidFill>
          </w14:textFill>
        </w:rPr>
        <w:t>：</w:t>
      </w:r>
    </w:p>
    <w:p>
      <w:pPr>
        <w:spacing w:line="560" w:lineRule="exact"/>
        <w:ind w:firstLine="894"/>
        <w:jc w:val="center"/>
        <w:rPr>
          <w:rFonts w:ascii="方正小标宋简体" w:eastAsia="方正小标宋简体"/>
          <w:color w:val="000000" w:themeColor="text1"/>
          <w:sz w:val="44"/>
          <w:szCs w:val="44"/>
          <w14:textFill>
            <w14:solidFill>
              <w14:schemeClr w14:val="tx1"/>
            </w14:solidFill>
          </w14:textFill>
        </w:rPr>
      </w:pPr>
    </w:p>
    <w:p>
      <w:pPr>
        <w:spacing w:line="560" w:lineRule="exact"/>
        <w:ind w:firstLine="894"/>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中国建设工程造价管理协会</w:t>
      </w:r>
    </w:p>
    <w:p>
      <w:pPr>
        <w:spacing w:line="560" w:lineRule="exact"/>
        <w:ind w:firstLine="894"/>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工程造价咨询企业信用评价管理办法</w:t>
      </w:r>
    </w:p>
    <w:p>
      <w:pPr>
        <w:spacing w:line="560" w:lineRule="exact"/>
        <w:ind w:firstLine="894"/>
        <w:jc w:val="center"/>
        <w:rPr>
          <w:rFonts w:hint="eastAsia"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w:t>
      </w:r>
      <w:r>
        <w:rPr>
          <w:rFonts w:hint="eastAsia" w:ascii="方正小标宋简体" w:eastAsia="方正小标宋简体"/>
          <w:color w:val="000000" w:themeColor="text1"/>
          <w:sz w:val="44"/>
          <w:szCs w:val="44"/>
          <w:lang w:val="en-US" w:eastAsia="zh-CN"/>
          <w14:textFill>
            <w14:solidFill>
              <w14:schemeClr w14:val="tx1"/>
            </w14:solidFill>
          </w14:textFill>
        </w:rPr>
        <w:t>征求意见</w:t>
      </w:r>
      <w:r>
        <w:rPr>
          <w:rFonts w:hint="eastAsia" w:ascii="方正小标宋简体" w:eastAsia="方正小标宋简体"/>
          <w:color w:val="000000" w:themeColor="text1"/>
          <w:sz w:val="44"/>
          <w:szCs w:val="44"/>
          <w14:textFill>
            <w14:solidFill>
              <w14:schemeClr w14:val="tx1"/>
            </w14:solidFill>
          </w14:textFill>
        </w:rPr>
        <w:t>稿）</w:t>
      </w:r>
    </w:p>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第一章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总则</w:t>
      </w:r>
    </w:p>
    <w:p>
      <w:pPr>
        <w:pStyle w:val="19"/>
        <w:spacing w:line="578" w:lineRule="exact"/>
        <w:ind w:firstLine="657"/>
        <w:rPr>
          <w:rFonts w:ascii="仿宋" w:hAnsi="仿宋" w:eastAsia="仿宋"/>
          <w:color w:val="000000" w:themeColor="text1"/>
          <w:sz w:val="32"/>
          <w:szCs w:val="32"/>
          <w:highlight w:val="yellow"/>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第一条</w:t>
      </w:r>
      <w:r>
        <w:rPr>
          <w:rFonts w:ascii="仿宋" w:hAnsi="仿宋" w:eastAsia="仿宋"/>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为贯彻落实国务院、住房和城乡建设部关于社会信用体系建设的工作部署，指导和规范工程造价咨询企业信用评价工作，推进工程造价咨询行业信用体系建设，促进工程造价咨询行业健康发展，根据《国务院办公厅关于加快推进社会信用体系建设构建以信用为基础的新型监管机制的指导意见》（国办发〔2019〕35号）、《关于推进行业协会商会诚信自律建设工作的意见》（民发〔</w:t>
      </w:r>
      <w:r>
        <w:rPr>
          <w:rFonts w:ascii="仿宋" w:hAnsi="仿宋" w:eastAsia="仿宋"/>
          <w:color w:val="000000" w:themeColor="text1"/>
          <w:sz w:val="32"/>
          <w:szCs w:val="32"/>
          <w14:textFill>
            <w14:solidFill>
              <w14:schemeClr w14:val="tx1"/>
            </w14:solidFill>
          </w14:textFill>
        </w:rPr>
        <w:t>2014</w:t>
      </w:r>
      <w:r>
        <w:rPr>
          <w:rFonts w:hint="eastAsia" w:ascii="仿宋" w:hAnsi="仿宋" w:eastAsia="仿宋"/>
          <w:color w:val="000000" w:themeColor="text1"/>
          <w:sz w:val="32"/>
          <w:szCs w:val="32"/>
          <w14:textFill>
            <w14:solidFill>
              <w14:schemeClr w14:val="tx1"/>
            </w14:solidFill>
          </w14:textFill>
        </w:rPr>
        <w:t>〕</w:t>
      </w:r>
      <w:r>
        <w:rPr>
          <w:rFonts w:ascii="仿宋" w:hAnsi="仿宋" w:eastAsia="仿宋"/>
          <w:color w:val="000000" w:themeColor="text1"/>
          <w:sz w:val="32"/>
          <w:szCs w:val="32"/>
          <w14:textFill>
            <w14:solidFill>
              <w14:schemeClr w14:val="tx1"/>
            </w14:solidFill>
          </w14:textFill>
        </w:rPr>
        <w:t>225</w:t>
      </w:r>
      <w:r>
        <w:rPr>
          <w:rFonts w:hint="eastAsia" w:ascii="仿宋" w:hAnsi="仿宋" w:eastAsia="仿宋"/>
          <w:color w:val="000000" w:themeColor="text1"/>
          <w:sz w:val="32"/>
          <w:szCs w:val="32"/>
          <w14:textFill>
            <w14:solidFill>
              <w14:schemeClr w14:val="tx1"/>
            </w14:solidFill>
          </w14:textFill>
        </w:rPr>
        <w:t>号）、</w:t>
      </w:r>
      <w:r>
        <w:rPr>
          <w:rFonts w:hint="eastAsia" w:ascii="仿宋" w:hAnsi="仿宋" w:eastAsia="仿宋"/>
          <w:sz w:val="32"/>
          <w:szCs w:val="32"/>
        </w:rPr>
        <w:t>《住房和城乡建设部办公厅关于取消工程造价咨询企业资质审批加强事中事后监管的通知》（建办标〔</w:t>
      </w:r>
      <w:r>
        <w:rPr>
          <w:rFonts w:ascii="仿宋" w:hAnsi="仿宋" w:eastAsia="仿宋"/>
          <w:sz w:val="32"/>
          <w:szCs w:val="32"/>
        </w:rPr>
        <w:t>2021〕26号</w:t>
      </w:r>
      <w:r>
        <w:rPr>
          <w:rFonts w:hint="eastAsia" w:ascii="仿宋" w:hAnsi="仿宋" w:eastAsia="仿宋"/>
          <w:sz w:val="32"/>
          <w:szCs w:val="32"/>
        </w:rPr>
        <w:t>）、</w:t>
      </w:r>
      <w:r>
        <w:rPr>
          <w:rFonts w:ascii="仿宋" w:hAnsi="仿宋" w:eastAsia="仿宋"/>
          <w:sz w:val="32"/>
          <w:szCs w:val="32"/>
        </w:rPr>
        <w:tab/>
      </w:r>
      <w:r>
        <w:rPr>
          <w:rFonts w:ascii="仿宋" w:hAnsi="仿宋" w:eastAsia="仿宋"/>
          <w:sz w:val="32"/>
          <w:szCs w:val="32"/>
        </w:rPr>
        <w:t>[住房和城乡建设部关于修改《工程造价咨询企业管理办法》《注册造价工程师管理办法》的决定</w:t>
      </w:r>
      <w:r>
        <w:rPr>
          <w:rFonts w:hint="eastAsia" w:ascii="仿宋" w:hAnsi="仿宋" w:eastAsia="仿宋"/>
          <w:sz w:val="32"/>
          <w:szCs w:val="32"/>
        </w:rPr>
        <w:t>（建设部令第5</w:t>
      </w:r>
      <w:r>
        <w:rPr>
          <w:rFonts w:ascii="仿宋" w:hAnsi="仿宋" w:eastAsia="仿宋"/>
          <w:sz w:val="32"/>
          <w:szCs w:val="32"/>
        </w:rPr>
        <w:t>0</w:t>
      </w:r>
      <w:r>
        <w:rPr>
          <w:rFonts w:hint="eastAsia" w:ascii="仿宋" w:hAnsi="仿宋" w:eastAsia="仿宋"/>
          <w:sz w:val="32"/>
          <w:szCs w:val="32"/>
        </w:rPr>
        <w:t>号）]</w:t>
      </w:r>
      <w:r>
        <w:rPr>
          <w:rFonts w:hint="eastAsia" w:ascii="仿宋" w:hAnsi="仿宋" w:eastAsia="仿宋"/>
          <w:color w:val="000000" w:themeColor="text1"/>
          <w:sz w:val="32"/>
          <w:szCs w:val="32"/>
          <w14:textFill>
            <w14:solidFill>
              <w14:schemeClr w14:val="tx1"/>
            </w14:solidFill>
          </w14:textFill>
        </w:rPr>
        <w:t>等法律、法规、规章和文件的规定，制定本办法。</w:t>
      </w:r>
    </w:p>
    <w:p>
      <w:pPr>
        <w:pStyle w:val="19"/>
        <w:spacing w:line="578" w:lineRule="exact"/>
        <w:ind w:firstLine="657"/>
        <w:rPr>
          <w:rFonts w:ascii="仿宋" w:hAnsi="仿宋" w:eastAsia="仿宋"/>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bCs w:val="0"/>
          <w:color w:val="000000" w:themeColor="text1"/>
          <w:sz w:val="32"/>
          <w:szCs w:val="32"/>
          <w14:textFill>
            <w14:solidFill>
              <w14:schemeClr w14:val="tx1"/>
            </w14:solidFill>
          </w14:textFill>
        </w:rPr>
        <w:t>工程</w:t>
      </w:r>
      <w:r>
        <w:rPr>
          <w:rFonts w:hint="eastAsia" w:ascii="仿宋" w:hAnsi="仿宋" w:eastAsia="仿宋"/>
          <w:color w:val="000000" w:themeColor="text1"/>
          <w:sz w:val="32"/>
          <w:szCs w:val="32"/>
          <w14:textFill>
            <w14:solidFill>
              <w14:schemeClr w14:val="tx1"/>
            </w14:solidFill>
          </w14:textFill>
        </w:rPr>
        <w:t>造价咨询企业信用是企业履约能力、履约意愿、历史信用记录等的综合反映。</w:t>
      </w:r>
    </w:p>
    <w:p>
      <w:pPr>
        <w:pStyle w:val="19"/>
        <w:spacing w:line="578" w:lineRule="exact"/>
        <w:ind w:firstLine="657"/>
        <w:rPr>
          <w:rFonts w:ascii="仿宋" w:hAnsi="仿宋" w:eastAsia="仿宋"/>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第三条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本办法所称的信用评价，是指遵照相关法律、法规，按照本办法规定的程序和方法，对工程造价咨询企业的基本情况、经营管理、良好行为及不良行为等开展评价、确定信用等级及对信用信息进行记录、发布等的活动。</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宋体"/>
          <w:b/>
          <w:color w:val="000000" w:themeColor="text1"/>
          <w:szCs w:val="32"/>
          <w14:textFill>
            <w14:solidFill>
              <w14:schemeClr w14:val="tx1"/>
            </w14:solidFill>
          </w14:textFill>
        </w:rPr>
        <w:t>第四条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本办法适用于中国建设工程造价管理协会（以下简称</w:t>
      </w:r>
      <w:r>
        <w:rPr>
          <w:rFonts w:hint="eastAsia" w:ascii="Times New Roman" w:hAnsi="Times New Roman"/>
          <w:color w:val="000000" w:themeColor="text1"/>
          <w:szCs w:val="32"/>
          <w14:textFill>
            <w14:solidFill>
              <w14:schemeClr w14:val="tx1"/>
            </w14:solidFill>
          </w14:textFill>
        </w:rPr>
        <w:t>“</w:t>
      </w:r>
      <w:r>
        <w:rPr>
          <w:rFonts w:hint="eastAsia" w:ascii="Times New Roman"/>
          <w:color w:val="000000" w:themeColor="text1"/>
          <w:szCs w:val="32"/>
          <w14:textFill>
            <w14:solidFill>
              <w14:schemeClr w14:val="tx1"/>
            </w14:solidFill>
          </w14:textFill>
        </w:rPr>
        <w:t>中价协</w:t>
      </w:r>
      <w:r>
        <w:rPr>
          <w:rFonts w:hint="eastAsia" w:ascii="Times New Roman" w:hAnsi="Times New Roman"/>
          <w:color w:val="000000" w:themeColor="text1"/>
          <w:szCs w:val="32"/>
          <w14:textFill>
            <w14:solidFill>
              <w14:schemeClr w14:val="tx1"/>
            </w14:solidFill>
          </w14:textFill>
        </w:rPr>
        <w:t>”</w:t>
      </w:r>
      <w:r>
        <w:rPr>
          <w:rFonts w:hint="eastAsia" w:ascii="Times New Roman"/>
          <w:color w:val="000000" w:themeColor="text1"/>
          <w:szCs w:val="32"/>
          <w14:textFill>
            <w14:solidFill>
              <w14:schemeClr w14:val="tx1"/>
            </w14:solidFill>
          </w14:textFill>
        </w:rPr>
        <w:t>） 对单位会员中自愿参加信用评价的工程造价咨询企业信用进行评价及监督管理。</w:t>
      </w:r>
    </w:p>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第二章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信用评价组织</w:t>
      </w:r>
    </w:p>
    <w:p>
      <w:pPr>
        <w:spacing w:line="578" w:lineRule="exact"/>
        <w:ind w:firstLine="657"/>
        <w:rPr>
          <w:rFonts w:ascii="Times New Roman" w:hAnsi="宋体"/>
          <w:b/>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第五条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中价协负责工程造价咨询企业信用评价的组织和管理工作，具体工作由</w:t>
      </w:r>
      <w:r>
        <w:rPr>
          <w:rFonts w:hint="eastAsia" w:ascii="Times New Roman"/>
          <w:szCs w:val="32"/>
        </w:rPr>
        <w:t>中价协委托</w:t>
      </w:r>
      <w:r>
        <w:rPr>
          <w:rFonts w:hint="eastAsia" w:ascii="Times New Roman"/>
          <w:color w:val="000000" w:themeColor="text1"/>
          <w:szCs w:val="32"/>
          <w14:textFill>
            <w14:solidFill>
              <w14:schemeClr w14:val="tx1"/>
            </w14:solidFill>
          </w14:textFill>
        </w:rPr>
        <w:t>省级工程造价行业协会</w:t>
      </w:r>
      <w:r>
        <w:rPr>
          <w:rFonts w:hint="eastAsia" w:ascii="Times New Roman"/>
          <w:szCs w:val="32"/>
        </w:rPr>
        <w:t>（以下简称</w:t>
      </w:r>
      <w:r>
        <w:rPr>
          <w:rFonts w:hint="eastAsia" w:ascii="Times New Roman" w:hAnsi="Times New Roman"/>
          <w:szCs w:val="32"/>
        </w:rPr>
        <w:t>“</w:t>
      </w:r>
      <w:r>
        <w:rPr>
          <w:rFonts w:hint="eastAsia" w:ascii="Times New Roman"/>
          <w:szCs w:val="32"/>
        </w:rPr>
        <w:t>省级行业协会</w:t>
      </w:r>
      <w:r>
        <w:rPr>
          <w:rFonts w:hint="eastAsia" w:ascii="Times New Roman" w:hAnsi="Times New Roman"/>
          <w:szCs w:val="32"/>
        </w:rPr>
        <w:t>”</w:t>
      </w:r>
      <w:r>
        <w:rPr>
          <w:rFonts w:hint="eastAsia" w:ascii="Times New Roman"/>
          <w:szCs w:val="32"/>
        </w:rPr>
        <w:t>）</w:t>
      </w:r>
      <w:r>
        <w:rPr>
          <w:rFonts w:hint="eastAsia" w:ascii="Times New Roman"/>
          <w:color w:val="000000" w:themeColor="text1"/>
          <w:szCs w:val="32"/>
          <w14:textFill>
            <w14:solidFill>
              <w14:schemeClr w14:val="tx1"/>
            </w14:solidFill>
          </w14:textFill>
        </w:rPr>
        <w:t>及中价协工作委员会</w:t>
      </w:r>
      <w:r>
        <w:rPr>
          <w:rFonts w:hint="eastAsia" w:ascii="Times New Roman"/>
          <w:szCs w:val="32"/>
        </w:rPr>
        <w:t>（以下简称</w:t>
      </w:r>
      <w:r>
        <w:rPr>
          <w:rFonts w:hint="eastAsia" w:ascii="Times New Roman" w:hAnsi="Times New Roman"/>
          <w:szCs w:val="32"/>
        </w:rPr>
        <w:t>“</w:t>
      </w:r>
      <w:r>
        <w:rPr>
          <w:rFonts w:hint="eastAsia" w:ascii="Times New Roman"/>
          <w:szCs w:val="32"/>
        </w:rPr>
        <w:t>委员会</w:t>
      </w:r>
      <w:r>
        <w:rPr>
          <w:rFonts w:hint="eastAsia" w:ascii="Times New Roman" w:hAnsi="Times New Roman"/>
          <w:szCs w:val="32"/>
        </w:rPr>
        <w:t>”</w:t>
      </w:r>
      <w:r>
        <w:rPr>
          <w:rFonts w:hint="eastAsia" w:ascii="Times New Roman"/>
          <w:szCs w:val="32"/>
        </w:rPr>
        <w:t>）</w:t>
      </w:r>
      <w:r>
        <w:rPr>
          <w:rFonts w:hint="eastAsia" w:ascii="Times New Roman"/>
          <w:color w:val="000000" w:themeColor="text1"/>
          <w:szCs w:val="32"/>
          <w14:textFill>
            <w14:solidFill>
              <w14:schemeClr w14:val="tx1"/>
            </w14:solidFill>
          </w14:textFill>
        </w:rPr>
        <w:t>进行实施。</w:t>
      </w:r>
    </w:p>
    <w:p>
      <w:pPr>
        <w:spacing w:line="578" w:lineRule="exact"/>
        <w:ind w:firstLine="657"/>
        <w:rPr>
          <w:rFonts w:ascii="Times New Roman" w:hAnsi="宋体"/>
          <w:bCs/>
          <w:color w:val="000000" w:themeColor="text1"/>
          <w:szCs w:val="32"/>
          <w14:textFill>
            <w14:solidFill>
              <w14:schemeClr w14:val="tx1"/>
            </w14:solidFill>
          </w14:textFill>
        </w:rPr>
      </w:pPr>
      <w:r>
        <w:rPr>
          <w:rFonts w:hint="eastAsia" w:ascii="Times New Roman" w:hAnsi="宋体"/>
          <w:b/>
          <w:color w:val="000000" w:themeColor="text1"/>
          <w:szCs w:val="32"/>
          <w14:textFill>
            <w14:solidFill>
              <w14:schemeClr w14:val="tx1"/>
            </w14:solidFill>
          </w14:textFill>
        </w:rPr>
        <w:t xml:space="preserve">第六条 </w:t>
      </w:r>
      <w:r>
        <w:rPr>
          <w:rFonts w:hint="eastAsia" w:ascii="Times New Roman" w:hAnsi="宋体"/>
          <w:bCs/>
          <w:color w:val="000000" w:themeColor="text1"/>
          <w:szCs w:val="32"/>
          <w14:textFill>
            <w14:solidFill>
              <w14:schemeClr w14:val="tx1"/>
            </w14:solidFill>
          </w14:textFill>
        </w:rPr>
        <w:t>中价协负责信用评价系统的开发、运行和维护，确保信用评价系统运行可靠、信息共享、数据安全。</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第七条</w:t>
      </w:r>
      <w:r>
        <w:rPr>
          <w:rFonts w:ascii="Times New Roman" w:hAnsi="Times New Roman"/>
          <w:b/>
          <w:color w:val="000000" w:themeColor="text1"/>
          <w:szCs w:val="32"/>
          <w14:textFill>
            <w14:solidFill>
              <w14:schemeClr w14:val="tx1"/>
            </w14:solidFill>
          </w14:textFill>
        </w:rPr>
        <w:t xml:space="preserve"> </w:t>
      </w:r>
      <w:r>
        <w:rPr>
          <w:rFonts w:hint="eastAsia" w:ascii="Times New Roman"/>
          <w:szCs w:val="32"/>
        </w:rPr>
        <w:t>中价协委托的</w:t>
      </w:r>
      <w:bookmarkStart w:id="0" w:name="_Hlk91765312"/>
      <w:r>
        <w:rPr>
          <w:rFonts w:hint="eastAsia" w:ascii="Times New Roman"/>
          <w:szCs w:val="32"/>
        </w:rPr>
        <w:t>省级行业协会</w:t>
      </w:r>
      <w:r>
        <w:rPr>
          <w:rFonts w:hint="eastAsia" w:ascii="Times New Roman"/>
          <w:color w:val="000000" w:themeColor="text1"/>
          <w:szCs w:val="32"/>
          <w14:textFill>
            <w14:solidFill>
              <w14:schemeClr w14:val="tx1"/>
            </w14:solidFill>
          </w14:textFill>
        </w:rPr>
        <w:t>及委员会</w:t>
      </w:r>
      <w:bookmarkEnd w:id="0"/>
      <w:r>
        <w:rPr>
          <w:rFonts w:hint="eastAsia" w:ascii="Times New Roman"/>
          <w:color w:val="000000" w:themeColor="text1"/>
          <w:szCs w:val="32"/>
          <w14:textFill>
            <w14:solidFill>
              <w14:schemeClr w14:val="tx1"/>
            </w14:solidFill>
          </w14:textFill>
        </w:rPr>
        <w:t>是信用评价的初评机构，负责本地区、本行业信用评价的初评、上报及相应的监督、核查等工作。中价协负责评价结果的复核、确认和发布。</w:t>
      </w:r>
    </w:p>
    <w:p>
      <w:pPr>
        <w:pStyle w:val="19"/>
        <w:spacing w:line="578" w:lineRule="exact"/>
        <w:ind w:firstLine="657"/>
        <w:rPr>
          <w:rFonts w:ascii="仿宋" w:hAnsi="仿宋" w:eastAsia="仿宋"/>
          <w:color w:val="000000" w:themeColor="text1"/>
          <w:sz w:val="32"/>
          <w:szCs w:val="32"/>
          <w:shd w:val="clear" w:color="auto" w:fill="FFFFFF"/>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第八条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bCs w:val="0"/>
          <w:color w:val="000000" w:themeColor="text1"/>
          <w:sz w:val="32"/>
          <w:szCs w:val="32"/>
          <w14:textFill>
            <w14:solidFill>
              <w14:schemeClr w14:val="tx1"/>
            </w14:solidFill>
          </w14:textFill>
        </w:rPr>
        <w:t>中价协</w:t>
      </w:r>
      <w:r>
        <w:rPr>
          <w:rFonts w:hint="eastAsia" w:ascii="仿宋" w:hAnsi="仿宋" w:eastAsia="仿宋"/>
          <w:bCs w:val="0"/>
          <w:color w:val="000000" w:themeColor="text1"/>
          <w:sz w:val="32"/>
          <w:szCs w:val="32"/>
          <w:lang w:val="en-US" w:eastAsia="zh-CN"/>
          <w14:textFill>
            <w14:solidFill>
              <w14:schemeClr w14:val="tx1"/>
            </w14:solidFill>
          </w14:textFill>
        </w:rPr>
        <w:t>和</w:t>
      </w:r>
      <w:r>
        <w:rPr>
          <w:rFonts w:hint="eastAsia" w:ascii="仿宋" w:hAnsi="仿宋" w:eastAsia="仿宋"/>
          <w:bCs w:val="0"/>
          <w:color w:val="000000" w:themeColor="text1"/>
          <w:sz w:val="32"/>
          <w:szCs w:val="32"/>
          <w14:textFill>
            <w14:solidFill>
              <w14:schemeClr w14:val="tx1"/>
            </w14:solidFill>
          </w14:textFill>
        </w:rPr>
        <w:t>省级行业协会及委员会开展</w:t>
      </w:r>
      <w:r>
        <w:rPr>
          <w:rFonts w:hint="eastAsia" w:ascii="仿宋" w:hAnsi="仿宋" w:eastAsia="仿宋"/>
          <w:color w:val="000000" w:themeColor="text1"/>
          <w:sz w:val="32"/>
          <w:szCs w:val="32"/>
          <w:shd w:val="clear" w:color="auto" w:fill="FFFFFF"/>
          <w14:textFill>
            <w14:solidFill>
              <w14:schemeClr w14:val="tx1"/>
            </w14:solidFill>
          </w14:textFill>
        </w:rPr>
        <w:t>信用评价工作应设立信用评价工作组，负责工程造价咨询企业信用信息的采集、核查、评分、公示、发布、评价资料的管理等相关工作。</w:t>
      </w:r>
    </w:p>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第三章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信用评价的依据和原则</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第九条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信用评价工作的依据：</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（一）国家有关法律、法规、规章等；</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（二）行业规范性文件、规定及标准等；</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（三）政府有关部门和工程造价行业管理机构及行业协会的表彰、表扬、奖励、专项检查、核查、抽查结果等；</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（四）已生效的判决书或仲裁裁决书；</w:t>
      </w:r>
      <w:r>
        <w:rPr>
          <w:rFonts w:ascii="Times New Roman" w:hAnsi="Times New Roman"/>
          <w:color w:val="000000" w:themeColor="text1"/>
          <w:szCs w:val="32"/>
          <w14:textFill>
            <w14:solidFill>
              <w14:schemeClr w14:val="tx1"/>
            </w14:solidFill>
          </w14:textFill>
        </w:rPr>
        <w:t xml:space="preserve"> </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（五）已生效的行政或司法机关的处罚决定书；</w:t>
      </w:r>
    </w:p>
    <w:p>
      <w:pPr>
        <w:spacing w:line="578" w:lineRule="exact"/>
        <w:ind w:firstLine="654"/>
        <w:rPr>
          <w:rFonts w:asci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（六）工程造价咨询统计调查制度；</w:t>
      </w:r>
    </w:p>
    <w:p>
      <w:pPr>
        <w:spacing w:line="578" w:lineRule="exact"/>
        <w:ind w:firstLine="654"/>
        <w:rPr>
          <w:rFonts w:asci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（七）各级工程造价咨询监管系统中的有关信息；</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（八）企业在住建部</w:t>
      </w:r>
      <w:r>
        <w:rPr>
          <w:rFonts w:hint="eastAsia" w:ascii="Times New Roman"/>
          <w:color w:val="000000" w:themeColor="text1"/>
          <w:szCs w:val="32"/>
          <w:lang w:val="en-US" w:eastAsia="zh-CN"/>
          <w14:textFill>
            <w14:solidFill>
              <w14:schemeClr w14:val="tx1"/>
            </w14:solidFill>
          </w14:textFill>
        </w:rPr>
        <w:t>和</w:t>
      </w:r>
      <w:r>
        <w:rPr>
          <w:rFonts w:hint="eastAsia" w:ascii="Times New Roman"/>
          <w:color w:val="000000" w:themeColor="text1"/>
          <w:szCs w:val="32"/>
          <w14:textFill>
            <w14:solidFill>
              <w14:schemeClr w14:val="tx1"/>
            </w14:solidFill>
          </w14:textFill>
        </w:rPr>
        <w:t>各省、自治区、直辖市主管部门</w:t>
      </w:r>
      <w:r>
        <w:rPr>
          <w:rFonts w:hint="eastAsia" w:ascii="Times New Roman"/>
          <w:color w:val="000000" w:themeColor="text1"/>
          <w:szCs w:val="32"/>
          <w:lang w:val="en-US" w:eastAsia="zh-CN"/>
          <w14:textFill>
            <w14:solidFill>
              <w14:schemeClr w14:val="tx1"/>
            </w14:solidFill>
          </w14:textFill>
        </w:rPr>
        <w:t>及</w:t>
      </w:r>
      <w:r>
        <w:rPr>
          <w:rFonts w:hint="eastAsia" w:ascii="Times New Roman"/>
          <w:color w:val="000000" w:themeColor="text1"/>
          <w:szCs w:val="32"/>
          <w14:textFill>
            <w14:solidFill>
              <w14:schemeClr w14:val="tx1"/>
            </w14:solidFill>
          </w14:textFill>
        </w:rPr>
        <w:t>中价协</w:t>
      </w:r>
      <w:r>
        <w:rPr>
          <w:rFonts w:hint="eastAsia" w:ascii="Times New Roman"/>
          <w:color w:val="000000" w:themeColor="text1"/>
          <w:szCs w:val="32"/>
          <w:lang w:val="en-US" w:eastAsia="zh-CN"/>
          <w14:textFill>
            <w14:solidFill>
              <w14:schemeClr w14:val="tx1"/>
            </w14:solidFill>
          </w14:textFill>
        </w:rPr>
        <w:t>工作</w:t>
      </w:r>
      <w:r>
        <w:rPr>
          <w:rFonts w:hint="eastAsia" w:ascii="Times New Roman"/>
          <w:color w:val="000000" w:themeColor="text1"/>
          <w:szCs w:val="32"/>
          <w14:textFill>
            <w14:solidFill>
              <w14:schemeClr w14:val="tx1"/>
            </w14:solidFill>
          </w14:textFill>
        </w:rPr>
        <w:t>委员会系统中上报的相关数据；</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（九）企业在各级政府机关或部门的信用档案信息；</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（十）企业从业人员在各级政府机关或部门的信用档案信息；</w:t>
      </w:r>
    </w:p>
    <w:p>
      <w:pPr>
        <w:spacing w:line="578" w:lineRule="exact"/>
        <w:ind w:firstLine="654"/>
        <w:rPr>
          <w:rFonts w:asci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（十一）其它相关信用信息等。</w:t>
      </w:r>
    </w:p>
    <w:p>
      <w:pPr>
        <w:spacing w:line="578" w:lineRule="exact"/>
        <w:ind w:firstLine="657"/>
        <w:rPr>
          <w:rFonts w:ascii="Times New Roman" w:hAnsi="Times New Roman" w:cs="仿宋_GB2312"/>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第十条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信用评价工作</w:t>
      </w:r>
      <w:r>
        <w:rPr>
          <w:rFonts w:hint="eastAsia" w:ascii="Times New Roman" w:cs="仿宋_GB2312"/>
          <w:color w:val="000000" w:themeColor="text1"/>
          <w:szCs w:val="32"/>
          <w14:textFill>
            <w14:solidFill>
              <w14:schemeClr w14:val="tx1"/>
            </w14:solidFill>
          </w14:textFill>
        </w:rPr>
        <w:t>遵循以下原则：</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（一）独立、客观、公正、科学；</w:t>
      </w:r>
      <w:r>
        <w:rPr>
          <w:rFonts w:ascii="Times New Roman" w:hAnsi="Times New Roman"/>
          <w:color w:val="000000" w:themeColor="text1"/>
          <w:szCs w:val="32"/>
          <w14:textFill>
            <w14:solidFill>
              <w14:schemeClr w14:val="tx1"/>
            </w14:solidFill>
          </w14:textFill>
        </w:rPr>
        <w:t xml:space="preserve"> </w:t>
      </w:r>
    </w:p>
    <w:p>
      <w:pPr>
        <w:spacing w:line="578" w:lineRule="exact"/>
        <w:ind w:firstLine="654"/>
        <w:rPr>
          <w:rFonts w:asci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（二）政府引导、行业自律、社会监督；</w:t>
      </w:r>
    </w:p>
    <w:p>
      <w:pPr>
        <w:spacing w:line="578" w:lineRule="exact"/>
        <w:ind w:firstLine="654"/>
        <w:rPr>
          <w:rFonts w:asci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（三）保护国家秘密、商业秘密和个人隐私；</w:t>
      </w:r>
    </w:p>
    <w:p>
      <w:pPr>
        <w:spacing w:line="578" w:lineRule="exact"/>
        <w:ind w:firstLine="654"/>
        <w:rPr>
          <w:rFonts w:asci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（四）社会需求和行业发展导向相结合；</w:t>
      </w:r>
    </w:p>
    <w:p>
      <w:pPr>
        <w:spacing w:line="578" w:lineRule="exact"/>
        <w:ind w:firstLine="654"/>
        <w:rPr>
          <w:rFonts w:asci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（五）充分利用信息化手段，减轻企业负担；</w:t>
      </w:r>
    </w:p>
    <w:p>
      <w:pPr>
        <w:spacing w:line="578" w:lineRule="exact"/>
        <w:ind w:firstLine="654"/>
        <w:rPr>
          <w:rFonts w:asci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（六）能力与信用相结合；</w:t>
      </w:r>
    </w:p>
    <w:p>
      <w:pPr>
        <w:spacing w:line="578" w:lineRule="exact"/>
        <w:ind w:firstLine="654"/>
        <w:rPr>
          <w:rFonts w:asci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（七）企业自愿。</w:t>
      </w:r>
    </w:p>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第四章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信用评价标准</w:t>
      </w:r>
    </w:p>
    <w:p>
      <w:pPr>
        <w:spacing w:line="578" w:lineRule="exact"/>
        <w:ind w:firstLine="657"/>
        <w:rPr>
          <w:rFonts w:ascii="Times New Roman" w:hAnsi="宋体"/>
          <w:color w:val="000000" w:themeColor="text1"/>
          <w:szCs w:val="32"/>
          <w14:textFill>
            <w14:solidFill>
              <w14:schemeClr w14:val="tx1"/>
            </w14:solidFill>
          </w14:textFill>
        </w:rPr>
      </w:pPr>
      <w:r>
        <w:rPr>
          <w:rFonts w:hint="eastAsia" w:ascii="Times New Roman" w:hAnsi="宋体"/>
          <w:b/>
          <w:color w:val="000000" w:themeColor="text1"/>
          <w:szCs w:val="32"/>
          <w14:textFill>
            <w14:solidFill>
              <w14:schemeClr w14:val="tx1"/>
            </w14:solidFill>
          </w14:textFill>
        </w:rPr>
        <w:t>第十一条</w:t>
      </w:r>
      <w:r>
        <w:rPr>
          <w:rFonts w:ascii="Times New Roman" w:hAnsi="Times New Roman"/>
          <w:color w:val="000000" w:themeColor="text1"/>
          <w:szCs w:val="32"/>
          <w14:textFill>
            <w14:solidFill>
              <w14:schemeClr w14:val="tx1"/>
            </w14:solidFill>
          </w14:textFill>
        </w:rPr>
        <w:t xml:space="preserve"> </w:t>
      </w:r>
      <w:r>
        <w:rPr>
          <w:rFonts w:hint="eastAsia" w:ascii="Times New Roman" w:hAnsi="宋体"/>
          <w:color w:val="000000" w:themeColor="text1"/>
          <w:szCs w:val="32"/>
          <w14:textFill>
            <w14:solidFill>
              <w14:schemeClr w14:val="tx1"/>
            </w14:solidFill>
          </w14:textFill>
        </w:rPr>
        <w:t>信用评价采用百分制对评价内容进行评分，评价内容分为基本情况及经营管理得分、良好行为加分和不良行为扣分等。其中：良好行为加分限额10分，不良行为扣分不限额。</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本办法所称良好行为，是指工程造价咨询企业在工程造价从业活动中遵守有关工程建设的法律、法规、规章、规范、标准及相关文件的规定，行为规范，诚信经营，自觉维护市场秩序，积极履行社会责任，受到各级人民政府、工程建设行政主管部门等相关政府部门、造价行业管理机构及造价行业协会等的表彰、奖励和表扬等的行为。</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本办法所称不良行为，是指工程造价咨询企业在工程造价从业活动中违反有关工程建设的法律、法规、规章、规范、标准、执业行为规范及相关文件的规定，受到司法判决或受到各级人民政府、工程建设行政主管部门等相关政府部门、造价行业管理机构等的行政处罚、通报批评、责令整改、约谈等，或受到投诉举报被查实等的行为，或违反行业自律规定受到行业协会惩戒或通报的行为。</w:t>
      </w:r>
    </w:p>
    <w:p>
      <w:pPr>
        <w:spacing w:line="578" w:lineRule="exact"/>
        <w:ind w:firstLine="657"/>
        <w:rPr>
          <w:rFonts w:ascii="Times New Roman" w:hAnsi="宋体"/>
          <w:color w:val="000000" w:themeColor="text1"/>
          <w:szCs w:val="32"/>
          <w14:textFill>
            <w14:solidFill>
              <w14:schemeClr w14:val="tx1"/>
            </w14:solidFill>
          </w14:textFill>
        </w:rPr>
      </w:pPr>
      <w:r>
        <w:rPr>
          <w:rFonts w:hint="eastAsia" w:ascii="Times New Roman" w:hAnsi="宋体"/>
          <w:b/>
          <w:color w:val="000000" w:themeColor="text1"/>
          <w:szCs w:val="32"/>
          <w14:textFill>
            <w14:solidFill>
              <w14:schemeClr w14:val="tx1"/>
            </w14:solidFill>
          </w14:textFill>
        </w:rPr>
        <w:t>第十二条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宋体"/>
          <w:color w:val="000000" w:themeColor="text1"/>
          <w:szCs w:val="32"/>
          <w14:textFill>
            <w14:solidFill>
              <w14:schemeClr w14:val="tx1"/>
            </w14:solidFill>
          </w14:textFill>
        </w:rPr>
        <w:t>基本情况及经营管理得分评价项满足或超过要求的，评价时按项计分，每项得分不超过该项得分满分；基本情况及经营管理得分评价项不满足要求或违反相关规定的，评价时按项扣分，每一评价项的扣分不超过本项扣分限额；良好行为加分和不良行为扣分分别按附件</w:t>
      </w:r>
      <w:r>
        <w:rPr>
          <w:rFonts w:ascii="Times New Roman" w:hAnsi="宋体"/>
          <w:color w:val="000000" w:themeColor="text1"/>
          <w:szCs w:val="32"/>
          <w14:textFill>
            <w14:solidFill>
              <w14:schemeClr w14:val="tx1"/>
            </w14:solidFill>
          </w14:textFill>
        </w:rPr>
        <w:t>3</w:t>
      </w:r>
      <w:r>
        <w:rPr>
          <w:rFonts w:hint="eastAsia" w:ascii="Times New Roman" w:hAnsi="宋体"/>
          <w:color w:val="000000" w:themeColor="text1"/>
          <w:szCs w:val="32"/>
          <w14:textFill>
            <w14:solidFill>
              <w14:schemeClr w14:val="tx1"/>
            </w14:solidFill>
          </w14:textFill>
        </w:rPr>
        <w:t>和附件</w:t>
      </w:r>
      <w:r>
        <w:rPr>
          <w:rFonts w:ascii="Times New Roman" w:hAnsi="宋体"/>
          <w:color w:val="000000" w:themeColor="text1"/>
          <w:szCs w:val="32"/>
          <w14:textFill>
            <w14:solidFill>
              <w14:schemeClr w14:val="tx1"/>
            </w14:solidFill>
          </w14:textFill>
        </w:rPr>
        <w:t>4</w:t>
      </w:r>
      <w:r>
        <w:rPr>
          <w:rFonts w:hint="eastAsia" w:ascii="Times New Roman" w:hAnsi="宋体"/>
          <w:color w:val="000000" w:themeColor="text1"/>
          <w:szCs w:val="32"/>
          <w14:textFill>
            <w14:solidFill>
              <w14:schemeClr w14:val="tx1"/>
            </w14:solidFill>
          </w14:textFill>
        </w:rPr>
        <w:t>的加分和扣分标准评价。</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宋体"/>
          <w:color w:val="000000" w:themeColor="text1"/>
          <w:szCs w:val="32"/>
          <w14:textFill>
            <w14:solidFill>
              <w14:schemeClr w14:val="tx1"/>
            </w14:solidFill>
          </w14:textFill>
        </w:rPr>
        <w:t>良好行为和不良行为的有效期一般</w:t>
      </w:r>
      <w:r>
        <w:rPr>
          <w:rFonts w:hint="eastAsia" w:ascii="Times New Roman" w:hAnsi="宋体"/>
          <w:szCs w:val="32"/>
        </w:rPr>
        <w:t>为取得或认定日期后</w:t>
      </w:r>
      <w:r>
        <w:rPr>
          <w:rFonts w:hint="eastAsia" w:ascii="Times New Roman" w:hAnsi="宋体"/>
          <w:color w:val="000000" w:themeColor="text1"/>
          <w:szCs w:val="32"/>
          <w14:textFill>
            <w14:solidFill>
              <w14:schemeClr w14:val="tx1"/>
            </w14:solidFill>
          </w14:textFill>
        </w:rPr>
        <w:t>三年。不良行为有效期不应低于其相关处罚期限。</w:t>
      </w:r>
    </w:p>
    <w:p>
      <w:pPr>
        <w:spacing w:line="578" w:lineRule="exact"/>
        <w:ind w:firstLine="657"/>
        <w:rPr>
          <w:rFonts w:asci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第十三条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工程造价咨询企业信用等级分为</w:t>
      </w:r>
      <w:r>
        <w:rPr>
          <w:rFonts w:ascii="Times New Roman" w:hAnsi="Times New Roman"/>
          <w:color w:val="000000" w:themeColor="text1"/>
          <w:szCs w:val="32"/>
          <w14:textFill>
            <w14:solidFill>
              <w14:schemeClr w14:val="tx1"/>
            </w14:solidFill>
          </w14:textFill>
        </w:rPr>
        <w:t>AAA</w:t>
      </w:r>
      <w:r>
        <w:rPr>
          <w:rFonts w:hint="eastAsia" w:ascii="Times New Roman"/>
          <w:color w:val="000000" w:themeColor="text1"/>
          <w:szCs w:val="32"/>
          <w14:textFill>
            <w14:solidFill>
              <w14:schemeClr w14:val="tx1"/>
            </w14:solidFill>
          </w14:textFill>
        </w:rPr>
        <w:t>、</w:t>
      </w:r>
      <w:r>
        <w:rPr>
          <w:rFonts w:ascii="Times New Roman" w:hAnsi="Times New Roman"/>
          <w:color w:val="000000" w:themeColor="text1"/>
          <w:szCs w:val="32"/>
          <w14:textFill>
            <w14:solidFill>
              <w14:schemeClr w14:val="tx1"/>
            </w14:solidFill>
          </w14:textFill>
        </w:rPr>
        <w:t>AA</w:t>
      </w:r>
      <w:r>
        <w:rPr>
          <w:rFonts w:hint="eastAsia" w:ascii="Times New Roman"/>
          <w:color w:val="000000" w:themeColor="text1"/>
          <w:szCs w:val="32"/>
          <w14:textFill>
            <w14:solidFill>
              <w14:schemeClr w14:val="tx1"/>
            </w14:solidFill>
          </w14:textFill>
        </w:rPr>
        <w:t>、</w:t>
      </w:r>
      <w:r>
        <w:rPr>
          <w:rFonts w:ascii="Times New Roman" w:hAnsi="Times New Roman"/>
          <w:color w:val="000000" w:themeColor="text1"/>
          <w:szCs w:val="32"/>
          <w14:textFill>
            <w14:solidFill>
              <w14:schemeClr w14:val="tx1"/>
            </w14:solidFill>
          </w14:textFill>
        </w:rPr>
        <w:t>A</w:t>
      </w:r>
      <w:r>
        <w:rPr>
          <w:rFonts w:hint="eastAsia" w:ascii="Times New Roman"/>
          <w:color w:val="000000" w:themeColor="text1"/>
          <w:szCs w:val="32"/>
          <w14:textFill>
            <w14:solidFill>
              <w14:schemeClr w14:val="tx1"/>
            </w14:solidFill>
          </w14:textFill>
        </w:rPr>
        <w:t>、</w:t>
      </w:r>
      <w:r>
        <w:rPr>
          <w:rFonts w:ascii="Times New Roman" w:hAnsi="Times New Roman"/>
          <w:color w:val="000000" w:themeColor="text1"/>
          <w:szCs w:val="32"/>
          <w14:textFill>
            <w14:solidFill>
              <w14:schemeClr w14:val="tx1"/>
            </w14:solidFill>
          </w14:textFill>
        </w:rPr>
        <w:t>B</w:t>
      </w:r>
      <w:r>
        <w:rPr>
          <w:rFonts w:hint="eastAsia" w:ascii="Times New Roman"/>
          <w:color w:val="000000" w:themeColor="text1"/>
          <w:szCs w:val="32"/>
          <w14:textFill>
            <w14:solidFill>
              <w14:schemeClr w14:val="tx1"/>
            </w14:solidFill>
          </w14:textFill>
        </w:rPr>
        <w:t>、</w:t>
      </w:r>
      <w:r>
        <w:rPr>
          <w:rFonts w:ascii="Times New Roman" w:hAnsi="Times New Roman"/>
          <w:color w:val="000000" w:themeColor="text1"/>
          <w:szCs w:val="32"/>
          <w14:textFill>
            <w14:solidFill>
              <w14:schemeClr w14:val="tx1"/>
            </w14:solidFill>
          </w14:textFill>
        </w:rPr>
        <w:t>C</w:t>
      </w:r>
      <w:r>
        <w:rPr>
          <w:rFonts w:hint="eastAsia" w:ascii="Times New Roman"/>
          <w:color w:val="000000" w:themeColor="text1"/>
          <w:szCs w:val="32"/>
          <w14:textFill>
            <w14:solidFill>
              <w14:schemeClr w14:val="tx1"/>
            </w14:solidFill>
          </w14:textFill>
        </w:rPr>
        <w:t>三等五级。</w:t>
      </w:r>
    </w:p>
    <w:p>
      <w:pPr>
        <w:spacing w:line="578" w:lineRule="exact"/>
        <w:ind w:firstLine="654"/>
        <w:rPr>
          <w:rFonts w:ascii="Times New Roman"/>
          <w:szCs w:val="32"/>
        </w:rPr>
      </w:pPr>
      <w:r>
        <w:rPr>
          <w:rFonts w:hint="eastAsia" w:ascii="Times New Roman"/>
          <w:szCs w:val="32"/>
        </w:rPr>
        <w:t>AAA表示信用很好，履约能力很强，</w:t>
      </w:r>
      <w:r>
        <w:rPr>
          <w:rFonts w:ascii="Times New Roman"/>
          <w:szCs w:val="32"/>
        </w:rPr>
        <w:t xml:space="preserve"> AA</w:t>
      </w:r>
      <w:r>
        <w:rPr>
          <w:rFonts w:hint="eastAsia" w:ascii="Times New Roman"/>
          <w:szCs w:val="32"/>
        </w:rPr>
        <w:t>表示信用好，履约能力强，</w:t>
      </w:r>
      <w:r>
        <w:rPr>
          <w:rFonts w:ascii="Times New Roman"/>
          <w:szCs w:val="32"/>
        </w:rPr>
        <w:t>A</w:t>
      </w:r>
      <w:r>
        <w:rPr>
          <w:rFonts w:hint="eastAsia" w:ascii="Times New Roman"/>
          <w:szCs w:val="32"/>
        </w:rPr>
        <w:t>表示信用较好，履约能力较强、</w:t>
      </w:r>
      <w:r>
        <w:rPr>
          <w:rFonts w:ascii="Times New Roman"/>
          <w:szCs w:val="32"/>
        </w:rPr>
        <w:t>B</w:t>
      </w:r>
      <w:r>
        <w:rPr>
          <w:rFonts w:hint="eastAsia" w:ascii="Times New Roman"/>
          <w:szCs w:val="32"/>
        </w:rPr>
        <w:t xml:space="preserve">表示信用较好，履约能力一般， </w:t>
      </w:r>
      <w:r>
        <w:rPr>
          <w:rFonts w:ascii="Times New Roman"/>
          <w:szCs w:val="32"/>
        </w:rPr>
        <w:t>C</w:t>
      </w:r>
      <w:r>
        <w:rPr>
          <w:rFonts w:hint="eastAsia" w:ascii="Times New Roman"/>
          <w:szCs w:val="32"/>
        </w:rPr>
        <w:t>表示信用一般，履约能力较弱。</w:t>
      </w:r>
    </w:p>
    <w:p>
      <w:pPr>
        <w:spacing w:line="578" w:lineRule="exact"/>
        <w:ind w:firstLine="657"/>
        <w:rPr>
          <w:rFonts w:ascii="Times New Roman" w:hAnsi="Times New Roman" w:cs="仿宋_GB2312"/>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第十四条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信用评价实行评分制，</w:t>
      </w:r>
      <w:r>
        <w:rPr>
          <w:rFonts w:hint="eastAsia" w:ascii="Times New Roman" w:cs="仿宋_GB2312"/>
          <w:color w:val="000000" w:themeColor="text1"/>
          <w:szCs w:val="32"/>
          <w14:textFill>
            <w14:solidFill>
              <w14:schemeClr w14:val="tx1"/>
            </w14:solidFill>
          </w14:textFill>
        </w:rPr>
        <w:t>评价结果采用按分值区间确定的原则，信用</w:t>
      </w:r>
      <w:r>
        <w:rPr>
          <w:rFonts w:hint="eastAsia" w:ascii="Times New Roman"/>
          <w:color w:val="000000" w:themeColor="text1"/>
          <w:szCs w:val="32"/>
          <w14:textFill>
            <w14:solidFill>
              <w14:schemeClr w14:val="tx1"/>
            </w14:solidFill>
          </w14:textFill>
        </w:rPr>
        <w:t>等级实行动态评价、动态管理。</w:t>
      </w:r>
    </w:p>
    <w:p>
      <w:pPr>
        <w:spacing w:line="578" w:lineRule="exact"/>
        <w:ind w:firstLine="657"/>
        <w:rPr>
          <w:rFonts w:hint="eastAsia" w:asci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第十五条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信用等级根据信用评价标准得分结果确定，信用等级与信用评价得分对应关系如下：</w:t>
      </w:r>
    </w:p>
    <w:p>
      <w:pPr>
        <w:spacing w:line="578" w:lineRule="exact"/>
        <w:ind w:firstLine="657"/>
        <w:rPr>
          <w:rFonts w:hint="eastAsia" w:ascii="Times New Roman"/>
          <w:color w:val="000000" w:themeColor="text1"/>
          <w:szCs w:val="32"/>
          <w14:textFill>
            <w14:solidFill>
              <w14:schemeClr w14:val="tx1"/>
            </w14:solidFill>
          </w14:textFill>
        </w:rPr>
      </w:pPr>
    </w:p>
    <w:tbl>
      <w:tblPr>
        <w:tblStyle w:val="9"/>
        <w:tblW w:w="7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268"/>
        <w:gridCol w:w="2597"/>
        <w:gridCol w:w="1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vAlign w:val="center"/>
          </w:tcPr>
          <w:p>
            <w:pPr>
              <w:spacing w:line="578" w:lineRule="exact"/>
              <w:ind w:firstLine="0" w:firstLineChars="0"/>
              <w:jc w:val="center"/>
              <w:rPr>
                <w:rFonts w:ascii="黑体" w:hAnsi="黑体" w:eastAsia="黑体"/>
                <w:color w:val="000000" w:themeColor="text1"/>
                <w:szCs w:val="32"/>
                <w14:textFill>
                  <w14:solidFill>
                    <w14:schemeClr w14:val="tx1"/>
                  </w14:solidFill>
                </w14:textFill>
              </w:rPr>
            </w:pPr>
            <w:r>
              <w:rPr>
                <w:rFonts w:hint="eastAsia" w:ascii="黑体" w:hAnsi="黑体" w:eastAsia="黑体"/>
                <w:color w:val="000000" w:themeColor="text1"/>
                <w:szCs w:val="32"/>
                <w14:textFill>
                  <w14:solidFill>
                    <w14:schemeClr w14:val="tx1"/>
                  </w14:solidFill>
                </w14:textFill>
              </w:rPr>
              <w:t>序号</w:t>
            </w:r>
          </w:p>
        </w:tc>
        <w:tc>
          <w:tcPr>
            <w:tcW w:w="2268" w:type="dxa"/>
            <w:vAlign w:val="center"/>
          </w:tcPr>
          <w:p>
            <w:pPr>
              <w:spacing w:line="578" w:lineRule="exact"/>
              <w:ind w:firstLineChars="61"/>
              <w:jc w:val="center"/>
              <w:rPr>
                <w:rFonts w:ascii="黑体" w:hAnsi="黑体" w:eastAsia="黑体"/>
                <w:color w:val="000000" w:themeColor="text1"/>
                <w:szCs w:val="32"/>
                <w14:textFill>
                  <w14:solidFill>
                    <w14:schemeClr w14:val="tx1"/>
                  </w14:solidFill>
                </w14:textFill>
              </w:rPr>
            </w:pPr>
            <w:r>
              <w:rPr>
                <w:rFonts w:hint="eastAsia" w:ascii="黑体" w:hAnsi="黑体" w:eastAsia="黑体"/>
                <w:color w:val="000000" w:themeColor="text1"/>
                <w:szCs w:val="32"/>
                <w14:textFill>
                  <w14:solidFill>
                    <w14:schemeClr w14:val="tx1"/>
                  </w14:solidFill>
                </w14:textFill>
              </w:rPr>
              <w:t>信用等级</w:t>
            </w:r>
          </w:p>
        </w:tc>
        <w:tc>
          <w:tcPr>
            <w:tcW w:w="2597" w:type="dxa"/>
            <w:vAlign w:val="center"/>
          </w:tcPr>
          <w:p>
            <w:pPr>
              <w:spacing w:line="578" w:lineRule="exact"/>
              <w:ind w:firstLineChars="61"/>
              <w:jc w:val="center"/>
              <w:rPr>
                <w:rFonts w:ascii="黑体" w:hAnsi="黑体" w:eastAsia="黑体"/>
                <w:color w:val="000000" w:themeColor="text1"/>
                <w:szCs w:val="32"/>
                <w14:textFill>
                  <w14:solidFill>
                    <w14:schemeClr w14:val="tx1"/>
                  </w14:solidFill>
                </w14:textFill>
              </w:rPr>
            </w:pPr>
            <w:r>
              <w:rPr>
                <w:rFonts w:hint="eastAsia" w:ascii="黑体" w:hAnsi="黑体" w:eastAsia="黑体"/>
                <w:color w:val="000000" w:themeColor="text1"/>
                <w:szCs w:val="32"/>
                <w14:textFill>
                  <w14:solidFill>
                    <w14:schemeClr w14:val="tx1"/>
                  </w14:solidFill>
                </w14:textFill>
              </w:rPr>
              <w:t>评价得分</w:t>
            </w:r>
          </w:p>
        </w:tc>
        <w:tc>
          <w:tcPr>
            <w:tcW w:w="1797" w:type="dxa"/>
            <w:vAlign w:val="center"/>
          </w:tcPr>
          <w:p>
            <w:pPr>
              <w:spacing w:line="578" w:lineRule="exact"/>
              <w:ind w:firstLineChars="61"/>
              <w:jc w:val="center"/>
              <w:rPr>
                <w:rFonts w:ascii="黑体" w:hAnsi="黑体" w:eastAsia="黑体"/>
                <w:color w:val="000000" w:themeColor="text1"/>
                <w:szCs w:val="32"/>
                <w14:textFill>
                  <w14:solidFill>
                    <w14:schemeClr w14:val="tx1"/>
                  </w14:solidFill>
                </w14:textFill>
              </w:rPr>
            </w:pPr>
            <w:r>
              <w:rPr>
                <w:rFonts w:hint="eastAsia" w:ascii="黑体" w:hAnsi="黑体" w:eastAsia="黑体"/>
                <w:color w:val="000000" w:themeColor="text1"/>
                <w:szCs w:val="32"/>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1</w:t>
            </w:r>
          </w:p>
        </w:tc>
        <w:tc>
          <w:tcPr>
            <w:tcW w:w="2268"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AAA</w:t>
            </w:r>
          </w:p>
        </w:tc>
        <w:tc>
          <w:tcPr>
            <w:tcW w:w="2597" w:type="dxa"/>
            <w:vAlign w:val="center"/>
          </w:tcPr>
          <w:p>
            <w:pPr>
              <w:spacing w:line="578" w:lineRule="exact"/>
              <w:ind w:firstLineChars="61"/>
              <w:jc w:val="center"/>
              <w:rPr>
                <w:rFonts w:hint="default" w:ascii="Times New Roman" w:hAnsi="Times New Roman" w:eastAsia="仿宋"/>
                <w:color w:val="000000" w:themeColor="text1"/>
                <w:szCs w:val="32"/>
                <w:lang w:val="en-US" w:eastAsia="zh-CN"/>
                <w14:textFill>
                  <w14:solidFill>
                    <w14:schemeClr w14:val="tx1"/>
                  </w14:solidFill>
                </w14:textFill>
              </w:rPr>
            </w:pPr>
            <w:r>
              <w:rPr>
                <w:rFonts w:hint="eastAsia" w:ascii="宋体" w:hAnsi="宋体"/>
                <w:color w:val="000000" w:themeColor="text1"/>
                <w:szCs w:val="32"/>
                <w:lang w:val="en-US" w:eastAsia="zh-CN"/>
                <w14:textFill>
                  <w14:solidFill>
                    <w14:schemeClr w14:val="tx1"/>
                  </w14:solidFill>
                </w14:textFill>
              </w:rPr>
              <w:t>100</w:t>
            </w:r>
            <w:r>
              <w:rPr>
                <w:rFonts w:hint="eastAsia" w:ascii="Times New Roman" w:hAnsi="Times New Roman"/>
                <w:color w:val="000000" w:themeColor="text1"/>
                <w:szCs w:val="32"/>
                <w14:textFill>
                  <w14:solidFill>
                    <w14:schemeClr w14:val="tx1"/>
                  </w14:solidFill>
                </w14:textFill>
              </w:rPr>
              <w:t>~</w:t>
            </w:r>
            <w:r>
              <w:rPr>
                <w:rFonts w:hint="eastAsia" w:ascii="Times New Roman" w:hAnsi="Times New Roman"/>
                <w:color w:val="000000" w:themeColor="text1"/>
                <w:szCs w:val="32"/>
                <w:lang w:val="en-US" w:eastAsia="zh-CN"/>
                <w14:textFill>
                  <w14:solidFill>
                    <w14:schemeClr w14:val="tx1"/>
                  </w14:solidFill>
                </w14:textFill>
              </w:rPr>
              <w:t>80</w:t>
            </w:r>
            <w:r>
              <w:rPr>
                <w:rFonts w:hint="eastAsia" w:ascii="Times New Roman" w:hAnsi="Times New Roman"/>
                <w:color w:val="000000" w:themeColor="text1"/>
                <w:szCs w:val="32"/>
                <w14:textFill>
                  <w14:solidFill>
                    <w14:schemeClr w14:val="tx1"/>
                  </w14:solidFill>
                </w14:textFill>
              </w:rPr>
              <w:t>（含</w:t>
            </w:r>
            <w:r>
              <w:rPr>
                <w:rFonts w:ascii="Times New Roman" w:hAnsi="Times New Roman"/>
                <w:color w:val="000000" w:themeColor="text1"/>
                <w:szCs w:val="32"/>
                <w14:textFill>
                  <w14:solidFill>
                    <w14:schemeClr w14:val="tx1"/>
                  </w14:solidFill>
                </w14:textFill>
              </w:rPr>
              <w:t>）</w:t>
            </w:r>
          </w:p>
        </w:tc>
        <w:tc>
          <w:tcPr>
            <w:tcW w:w="1797" w:type="dxa"/>
            <w:vAlign w:val="center"/>
          </w:tcPr>
          <w:p>
            <w:pPr>
              <w:spacing w:line="578" w:lineRule="exact"/>
              <w:ind w:firstLine="654"/>
              <w:jc w:val="center"/>
              <w:rPr>
                <w:rFonts w:ascii="Times New Roman" w:hAnsi="Times New Roman"/>
                <w:color w:val="000000" w:themeColor="text1"/>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2</w:t>
            </w:r>
          </w:p>
        </w:tc>
        <w:tc>
          <w:tcPr>
            <w:tcW w:w="2268"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AA</w:t>
            </w:r>
          </w:p>
        </w:tc>
        <w:tc>
          <w:tcPr>
            <w:tcW w:w="2597"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lang w:val="en-US" w:eastAsia="zh-CN"/>
                <w14:textFill>
                  <w14:solidFill>
                    <w14:schemeClr w14:val="tx1"/>
                  </w14:solidFill>
                </w14:textFill>
              </w:rPr>
              <w:t>80~70</w:t>
            </w:r>
            <w:r>
              <w:rPr>
                <w:rFonts w:hint="eastAsia" w:ascii="Times New Roman" w:hAnsi="Times New Roman"/>
                <w:color w:val="000000" w:themeColor="text1"/>
                <w:szCs w:val="32"/>
                <w14:textFill>
                  <w14:solidFill>
                    <w14:schemeClr w14:val="tx1"/>
                  </w14:solidFill>
                </w14:textFill>
              </w:rPr>
              <w:t>（含</w:t>
            </w:r>
            <w:r>
              <w:rPr>
                <w:rFonts w:ascii="Times New Roman" w:hAnsi="Times New Roman"/>
                <w:color w:val="000000" w:themeColor="text1"/>
                <w:szCs w:val="32"/>
                <w14:textFill>
                  <w14:solidFill>
                    <w14:schemeClr w14:val="tx1"/>
                  </w14:solidFill>
                </w14:textFill>
              </w:rPr>
              <w:t>）</w:t>
            </w:r>
          </w:p>
        </w:tc>
        <w:tc>
          <w:tcPr>
            <w:tcW w:w="1797" w:type="dxa"/>
            <w:vAlign w:val="center"/>
          </w:tcPr>
          <w:p>
            <w:pPr>
              <w:spacing w:line="578" w:lineRule="exact"/>
              <w:ind w:firstLine="654"/>
              <w:jc w:val="center"/>
              <w:rPr>
                <w:rFonts w:ascii="Times New Roman" w:hAnsi="Times New Roman"/>
                <w:color w:val="000000" w:themeColor="text1"/>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3</w:t>
            </w:r>
          </w:p>
        </w:tc>
        <w:tc>
          <w:tcPr>
            <w:tcW w:w="2268"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A</w:t>
            </w:r>
          </w:p>
        </w:tc>
        <w:tc>
          <w:tcPr>
            <w:tcW w:w="2597"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lang w:val="en-US" w:eastAsia="zh-CN"/>
                <w14:textFill>
                  <w14:solidFill>
                    <w14:schemeClr w14:val="tx1"/>
                  </w14:solidFill>
                </w14:textFill>
              </w:rPr>
              <w:t>70~60</w:t>
            </w:r>
            <w:r>
              <w:rPr>
                <w:rFonts w:hint="eastAsia" w:ascii="Times New Roman" w:hAnsi="Times New Roman"/>
                <w:color w:val="000000" w:themeColor="text1"/>
                <w:szCs w:val="32"/>
                <w14:textFill>
                  <w14:solidFill>
                    <w14:schemeClr w14:val="tx1"/>
                  </w14:solidFill>
                </w14:textFill>
              </w:rPr>
              <w:t>（含</w:t>
            </w:r>
            <w:r>
              <w:rPr>
                <w:rFonts w:ascii="Times New Roman" w:hAnsi="Times New Roman"/>
                <w:color w:val="000000" w:themeColor="text1"/>
                <w:szCs w:val="32"/>
                <w14:textFill>
                  <w14:solidFill>
                    <w14:schemeClr w14:val="tx1"/>
                  </w14:solidFill>
                </w14:textFill>
              </w:rPr>
              <w:t>）</w:t>
            </w:r>
          </w:p>
        </w:tc>
        <w:tc>
          <w:tcPr>
            <w:tcW w:w="1797" w:type="dxa"/>
            <w:vAlign w:val="center"/>
          </w:tcPr>
          <w:p>
            <w:pPr>
              <w:spacing w:line="578" w:lineRule="exact"/>
              <w:ind w:firstLine="654"/>
              <w:jc w:val="center"/>
              <w:rPr>
                <w:rFonts w:ascii="Times New Roman" w:hAnsi="Times New Roman"/>
                <w:color w:val="000000" w:themeColor="text1"/>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4</w:t>
            </w:r>
          </w:p>
        </w:tc>
        <w:tc>
          <w:tcPr>
            <w:tcW w:w="2268"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B</w:t>
            </w:r>
          </w:p>
        </w:tc>
        <w:tc>
          <w:tcPr>
            <w:tcW w:w="2597"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lang w:val="en-US" w:eastAsia="zh-CN"/>
                <w14:textFill>
                  <w14:solidFill>
                    <w14:schemeClr w14:val="tx1"/>
                  </w14:solidFill>
                </w14:textFill>
              </w:rPr>
              <w:t>60~50</w:t>
            </w:r>
            <w:r>
              <w:rPr>
                <w:rFonts w:hint="eastAsia" w:ascii="Times New Roman" w:hAnsi="Times New Roman"/>
                <w:color w:val="000000" w:themeColor="text1"/>
                <w:szCs w:val="32"/>
                <w14:textFill>
                  <w14:solidFill>
                    <w14:schemeClr w14:val="tx1"/>
                  </w14:solidFill>
                </w14:textFill>
              </w:rPr>
              <w:t>（含</w:t>
            </w:r>
            <w:r>
              <w:rPr>
                <w:rFonts w:ascii="Times New Roman" w:hAnsi="Times New Roman"/>
                <w:color w:val="000000" w:themeColor="text1"/>
                <w:szCs w:val="32"/>
                <w14:textFill>
                  <w14:solidFill>
                    <w14:schemeClr w14:val="tx1"/>
                  </w14:solidFill>
                </w14:textFill>
              </w:rPr>
              <w:t>）</w:t>
            </w:r>
          </w:p>
        </w:tc>
        <w:tc>
          <w:tcPr>
            <w:tcW w:w="1797" w:type="dxa"/>
            <w:vAlign w:val="center"/>
          </w:tcPr>
          <w:p>
            <w:pPr>
              <w:spacing w:line="578" w:lineRule="exact"/>
              <w:ind w:firstLine="654"/>
              <w:jc w:val="center"/>
              <w:rPr>
                <w:rFonts w:ascii="Times New Roman" w:hAnsi="Times New Roman"/>
                <w:color w:val="000000" w:themeColor="text1"/>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5</w:t>
            </w:r>
          </w:p>
        </w:tc>
        <w:tc>
          <w:tcPr>
            <w:tcW w:w="2268"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C</w:t>
            </w:r>
          </w:p>
        </w:tc>
        <w:tc>
          <w:tcPr>
            <w:tcW w:w="2597" w:type="dxa"/>
            <w:vAlign w:val="center"/>
          </w:tcPr>
          <w:p>
            <w:pPr>
              <w:spacing w:line="578" w:lineRule="exact"/>
              <w:ind w:firstLineChars="61"/>
              <w:jc w:val="center"/>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&lt;50</w:t>
            </w:r>
          </w:p>
        </w:tc>
        <w:tc>
          <w:tcPr>
            <w:tcW w:w="1797" w:type="dxa"/>
            <w:vAlign w:val="center"/>
          </w:tcPr>
          <w:p>
            <w:pPr>
              <w:spacing w:line="578" w:lineRule="exact"/>
              <w:ind w:firstLine="654"/>
              <w:jc w:val="center"/>
              <w:rPr>
                <w:rFonts w:ascii="Times New Roman" w:hAnsi="Times New Roman"/>
                <w:color w:val="000000" w:themeColor="text1"/>
                <w:szCs w:val="32"/>
                <w14:textFill>
                  <w14:solidFill>
                    <w14:schemeClr w14:val="tx1"/>
                  </w14:solidFill>
                </w14:textFill>
              </w:rPr>
            </w:pPr>
          </w:p>
        </w:tc>
      </w:tr>
    </w:tbl>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第五章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信用评价要求</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第十六条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参评企业应为中价协单位会员，</w:t>
      </w:r>
      <w:r>
        <w:rPr>
          <w:rFonts w:hint="eastAsia" w:ascii="Times New Roman"/>
          <w:szCs w:val="32"/>
        </w:rPr>
        <w:t>从事工程造价咨询业务</w:t>
      </w:r>
      <w:r>
        <w:rPr>
          <w:rFonts w:ascii="Times New Roman" w:hAnsi="Times New Roman"/>
          <w:color w:val="000000" w:themeColor="text1"/>
          <w:szCs w:val="32"/>
          <w14:textFill>
            <w14:solidFill>
              <w14:schemeClr w14:val="tx1"/>
            </w14:solidFill>
          </w14:textFill>
        </w:rPr>
        <w:t>1</w:t>
      </w:r>
      <w:r>
        <w:rPr>
          <w:rFonts w:hint="eastAsia" w:ascii="Times New Roman"/>
          <w:color w:val="000000" w:themeColor="text1"/>
          <w:szCs w:val="32"/>
          <w14:textFill>
            <w14:solidFill>
              <w14:schemeClr w14:val="tx1"/>
            </w14:solidFill>
          </w14:textFill>
        </w:rPr>
        <w:t>年（含）以上，且有造价咨询业务经营收入。</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第十七条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参评企业应在中价协统一的工程造价咨询企业信用评价系统上提出申请并建立档案。</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第十八条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信用评价工作实行动态评价，新申请评价的工程造价咨询企业应根据中价协相关工作通知要求的时间上报申请，已取得信用等级的工程造价咨询企业可随时更新相关信息。</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第十九条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工程造价咨询</w:t>
      </w:r>
      <w:r>
        <w:rPr>
          <w:rFonts w:hint="eastAsia" w:ascii="Times New Roman"/>
          <w:color w:val="000000" w:themeColor="text1"/>
          <w:szCs w:val="32"/>
          <w14:textFill>
            <w14:solidFill>
              <w14:schemeClr w14:val="tx1"/>
            </w14:solidFill>
          </w14:textFill>
        </w:rPr>
        <w:t>企业申请信用评价，必须包含其所有的分支机构，分支机构的良好行为和不良行为纳入其所属法人企业评价。</w:t>
      </w:r>
    </w:p>
    <w:p>
      <w:pPr>
        <w:pStyle w:val="2"/>
        <w:spacing w:line="578" w:lineRule="exact"/>
        <w:ind w:firstLine="654"/>
        <w:jc w:val="center"/>
        <w:rPr>
          <w:rFonts w:hint="eastAsia" w:ascii="黑体" w:hAnsi="黑体" w:eastAsia="黑体"/>
          <w:b w:val="0"/>
          <w:bCs w:val="0"/>
          <w:color w:val="000000" w:themeColor="text1"/>
          <w:sz w:val="32"/>
          <w:szCs w:val="32"/>
          <w14:textFill>
            <w14:solidFill>
              <w14:schemeClr w14:val="tx1"/>
            </w14:solidFill>
          </w14:textFill>
        </w:rPr>
      </w:pPr>
    </w:p>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第六章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信用评价内容</w:t>
      </w:r>
    </w:p>
    <w:p>
      <w:pPr>
        <w:pStyle w:val="3"/>
        <w:spacing w:line="578" w:lineRule="exact"/>
        <w:ind w:firstLine="657"/>
        <w:rPr>
          <w:rFonts w:ascii="仿宋" w:hAnsi="仿宋" w:eastAsia="仿宋"/>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信用评价的内容主要包括：</w:t>
      </w:r>
    </w:p>
    <w:p>
      <w:pPr>
        <w:pStyle w:val="3"/>
        <w:spacing w:line="578" w:lineRule="exact"/>
        <w:ind w:firstLine="654"/>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（一）基本情况：人员结构、各类组织等；</w:t>
      </w:r>
    </w:p>
    <w:p>
      <w:pPr>
        <w:pStyle w:val="3"/>
        <w:spacing w:line="578" w:lineRule="exact"/>
        <w:ind w:firstLine="654"/>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（二）经营管理：经营能力、管理能力、教育培训、信息化、文化建设与社会责任等</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成果质量、</w:t>
      </w:r>
      <w:r>
        <w:rPr>
          <w:rFonts w:hint="eastAsia" w:ascii="仿宋" w:hAnsi="仿宋" w:eastAsia="仿宋"/>
          <w:color w:val="000000" w:themeColor="text1"/>
          <w:sz w:val="32"/>
          <w:szCs w:val="32"/>
          <w:lang w:val="en-US" w:eastAsia="zh-CN"/>
          <w14:textFill>
            <w14:solidFill>
              <w14:schemeClr w14:val="tx1"/>
            </w14:solidFill>
          </w14:textFill>
        </w:rPr>
        <w:t>社会评价</w:t>
      </w:r>
      <w:r>
        <w:rPr>
          <w:rFonts w:hint="eastAsia" w:ascii="仿宋" w:hAnsi="仿宋" w:eastAsia="仿宋"/>
          <w:color w:val="000000" w:themeColor="text1"/>
          <w:sz w:val="32"/>
          <w:szCs w:val="32"/>
          <w14:textFill>
            <w14:solidFill>
              <w14:schemeClr w14:val="tx1"/>
            </w14:solidFill>
          </w14:textFill>
        </w:rPr>
        <w:t>；</w:t>
      </w:r>
    </w:p>
    <w:p>
      <w:pPr>
        <w:pStyle w:val="3"/>
        <w:spacing w:line="578" w:lineRule="exact"/>
        <w:rPr>
          <w:rFonts w:ascii="Times New Roman" w:hAnsi="Times New Roman"/>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val="en-US" w:eastAsia="zh-CN"/>
          <w14:textFill>
            <w14:solidFill>
              <w14:schemeClr w14:val="tx1"/>
            </w14:solidFill>
          </w14:textFill>
        </w:rPr>
        <w:t>三</w:t>
      </w:r>
      <w:r>
        <w:rPr>
          <w:rFonts w:hint="eastAsia" w:ascii="仿宋" w:hAnsi="仿宋" w:eastAsia="仿宋"/>
          <w:color w:val="000000" w:themeColor="text1"/>
          <w:sz w:val="32"/>
          <w:szCs w:val="32"/>
          <w14:textFill>
            <w14:solidFill>
              <w14:schemeClr w14:val="tx1"/>
            </w14:solidFill>
          </w14:textFill>
        </w:rPr>
        <w:t>）良好行为和不良行为：良好行为加分、不良行为扣分。</w:t>
      </w:r>
    </w:p>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第七章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信用评价程序</w:t>
      </w:r>
    </w:p>
    <w:p>
      <w:pPr>
        <w:spacing w:line="578" w:lineRule="exact"/>
        <w:ind w:left="176"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第二十一条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参评企业自愿申请信用评价。首次申请信用评价的企业应在中价协信用评价系统上注册，并在线填报有关信用评价的相关信息。</w:t>
      </w:r>
    </w:p>
    <w:p>
      <w:pPr>
        <w:spacing w:line="578" w:lineRule="exact"/>
        <w:ind w:left="176"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第二十二条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中价协根据信用评价工作的布置和要求，将其信用评价系统对省级行业协会及委员会开放相应的初评权限。</w:t>
      </w:r>
    </w:p>
    <w:p>
      <w:pPr>
        <w:spacing w:line="578" w:lineRule="exact"/>
        <w:ind w:left="176" w:firstLine="657"/>
        <w:rPr>
          <w:rFonts w:hint="eastAsia" w:ascii="宋体" w:hAnsi="宋体"/>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第二十三条</w:t>
      </w:r>
      <w:r>
        <w:rPr>
          <w:rFonts w:hint="eastAsia" w:ascii="Times New Roman"/>
          <w:b/>
          <w:color w:val="000000" w:themeColor="text1"/>
          <w:szCs w:val="32"/>
          <w:lang w:val="en-US" w:eastAsia="zh-CN"/>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评价系统自动从</w:t>
      </w:r>
      <w:r>
        <w:rPr>
          <w:rFonts w:hint="eastAsia" w:ascii="宋体" w:hAnsi="宋体"/>
          <w:color w:val="000000" w:themeColor="text1"/>
          <w:szCs w:val="32"/>
          <w14:textFill>
            <w14:solidFill>
              <w14:schemeClr w14:val="tx1"/>
            </w14:solidFill>
          </w14:textFill>
        </w:rPr>
        <w:t>工程造价咨询统计调查系统、全国工程造价咨询管理系统、</w:t>
      </w:r>
      <w:r>
        <w:rPr>
          <w:rFonts w:ascii="宋体" w:hAnsi="宋体"/>
          <w:color w:val="000000" w:themeColor="text1"/>
          <w:szCs w:val="32"/>
          <w14:textFill>
            <w14:solidFill>
              <w14:schemeClr w14:val="tx1"/>
            </w14:solidFill>
          </w14:textFill>
        </w:rPr>
        <w:t>会员服务系统</w:t>
      </w:r>
      <w:r>
        <w:rPr>
          <w:rFonts w:hint="eastAsia" w:ascii="宋体" w:hAnsi="宋体"/>
          <w:color w:val="000000" w:themeColor="text1"/>
          <w:szCs w:val="32"/>
          <w14:textFill>
            <w14:solidFill>
              <w14:schemeClr w14:val="tx1"/>
            </w14:solidFill>
          </w14:textFill>
        </w:rPr>
        <w:t>等获取相关数据并自动对相应评价指标赋分。</w:t>
      </w:r>
    </w:p>
    <w:p>
      <w:pPr>
        <w:spacing w:line="578" w:lineRule="exact"/>
        <w:ind w:left="176" w:firstLine="657"/>
        <w:rPr>
          <w:rFonts w:ascii="Times New Roman" w:hAnsi="Calibri"/>
          <w:color w:val="000000" w:themeColor="text1"/>
          <w:szCs w:val="32"/>
          <w14:textFill>
            <w14:solidFill>
              <w14:schemeClr w14:val="tx1"/>
            </w14:solidFill>
          </w14:textFill>
        </w:rPr>
      </w:pPr>
      <w:r>
        <w:rPr>
          <w:rFonts w:hint="eastAsia" w:ascii="宋体" w:hAnsi="宋体"/>
          <w:color w:val="000000" w:themeColor="text1"/>
          <w:szCs w:val="32"/>
          <w14:textFill>
            <w14:solidFill>
              <w14:schemeClr w14:val="tx1"/>
            </w14:solidFill>
          </w14:textFill>
        </w:rPr>
        <w:t>不能从以上系统中获取的指标或从以上系统中获取的指标不完整、不准确的，由</w:t>
      </w:r>
      <w:r>
        <w:rPr>
          <w:rFonts w:hint="eastAsia" w:ascii="Times New Roman"/>
          <w:color w:val="000000" w:themeColor="text1"/>
          <w:szCs w:val="32"/>
          <w14:textFill>
            <w14:solidFill>
              <w14:schemeClr w14:val="tx1"/>
            </w14:solidFill>
          </w14:textFill>
        </w:rPr>
        <w:t>参评企业根据实际情况在系统中自行填报，并准备相应的基础资料备查。</w:t>
      </w:r>
    </w:p>
    <w:p>
      <w:pPr>
        <w:spacing w:line="578" w:lineRule="exact"/>
        <w:ind w:left="176" w:firstLine="657"/>
        <w:rPr>
          <w:rFonts w:ascii="Times New Roman"/>
          <w:bCs/>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 xml:space="preserve">第二十四条 </w:t>
      </w:r>
      <w:r>
        <w:rPr>
          <w:rFonts w:hint="eastAsia" w:ascii="Times New Roman"/>
          <w:bCs/>
          <w:color w:val="000000" w:themeColor="text1"/>
          <w:szCs w:val="32"/>
          <w14:textFill>
            <w14:solidFill>
              <w14:schemeClr w14:val="tx1"/>
            </w14:solidFill>
          </w14:textFill>
        </w:rPr>
        <w:t>信用评价工作组对其认为需要到参评企业现场核实的评价内容，可到现场进行核实，根据实际核实情况进行评分，企业应予配合。派员到参评企业现场核实，应成立不少于</w:t>
      </w:r>
      <w:r>
        <w:rPr>
          <w:rFonts w:ascii="Times New Roman"/>
          <w:bCs/>
          <w:color w:val="000000" w:themeColor="text1"/>
          <w:szCs w:val="32"/>
          <w14:textFill>
            <w14:solidFill>
              <w14:schemeClr w14:val="tx1"/>
            </w14:solidFill>
          </w14:textFill>
        </w:rPr>
        <w:t>3</w:t>
      </w:r>
      <w:r>
        <w:rPr>
          <w:rFonts w:hint="eastAsia" w:ascii="Times New Roman"/>
          <w:bCs/>
          <w:color w:val="000000" w:themeColor="text1"/>
          <w:szCs w:val="32"/>
          <w14:textFill>
            <w14:solidFill>
              <w14:schemeClr w14:val="tx1"/>
            </w14:solidFill>
          </w14:textFill>
        </w:rPr>
        <w:t>人组成的工作小组。</w:t>
      </w:r>
    </w:p>
    <w:p>
      <w:pPr>
        <w:spacing w:line="578" w:lineRule="exact"/>
        <w:ind w:left="176" w:firstLine="657"/>
        <w:rPr>
          <w:rFonts w:ascii="Times New Roman"/>
          <w:bCs/>
          <w:color w:val="000000" w:themeColor="text1"/>
          <w:szCs w:val="32"/>
          <w14:textFill>
            <w14:solidFill>
              <w14:schemeClr w14:val="tx1"/>
            </w14:solidFill>
          </w14:textFill>
        </w:rPr>
      </w:pPr>
      <w:r>
        <w:rPr>
          <w:rFonts w:hint="eastAsia"/>
          <w:b/>
        </w:rPr>
        <w:t>第二十五条</w:t>
      </w:r>
      <w:r>
        <w:rPr>
          <w:rFonts w:hAnsi="Times New Roman"/>
          <w:b/>
        </w:rPr>
        <w:t xml:space="preserve"> </w:t>
      </w:r>
      <w:r>
        <w:rPr>
          <w:rFonts w:hint="eastAsia"/>
        </w:rPr>
        <w:t>良好行为和不良行为。良好行为和不良行为可由各参评企业、</w:t>
      </w:r>
      <w:r>
        <w:rPr>
          <w:rFonts w:hint="eastAsia" w:hAnsi="Times New Roman"/>
        </w:rPr>
        <w:t>中价协、</w:t>
      </w:r>
      <w:r>
        <w:rPr>
          <w:rFonts w:hint="eastAsia"/>
        </w:rPr>
        <w:t>省级行业协会、委员会录入，并在信用评价系统上及时更新。</w:t>
      </w:r>
      <w:r>
        <w:rPr>
          <w:rFonts w:hint="eastAsia" w:hAnsi="Times New Roman"/>
        </w:rPr>
        <w:t>中价协、</w:t>
      </w:r>
      <w:r>
        <w:rPr>
          <w:rFonts w:hint="eastAsia"/>
        </w:rPr>
        <w:t>省级行业协会、委员会按信用评价标准的规定，对工程造价咨询企业信用评价得分进行加分和扣分。</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良好行为和不良行为具体内容详见本办法附件</w:t>
      </w:r>
      <w:r>
        <w:rPr>
          <w:rFonts w:ascii="Times New Roman" w:hAnsi="Times New Roman"/>
          <w:color w:val="000000" w:themeColor="text1"/>
          <w:szCs w:val="32"/>
          <w14:textFill>
            <w14:solidFill>
              <w14:schemeClr w14:val="tx1"/>
            </w14:solidFill>
          </w14:textFill>
        </w:rPr>
        <w:t>3</w:t>
      </w:r>
      <w:r>
        <w:rPr>
          <w:rFonts w:hint="eastAsia" w:ascii="Times New Roman"/>
          <w:color w:val="000000" w:themeColor="text1"/>
          <w:szCs w:val="32"/>
          <w14:textFill>
            <w14:solidFill>
              <w14:schemeClr w14:val="tx1"/>
            </w14:solidFill>
          </w14:textFill>
        </w:rPr>
        <w:t>和附件</w:t>
      </w:r>
      <w:r>
        <w:rPr>
          <w:rFonts w:ascii="Times New Roman" w:hAnsi="Times New Roman"/>
          <w:color w:val="000000" w:themeColor="text1"/>
          <w:szCs w:val="32"/>
          <w14:textFill>
            <w14:solidFill>
              <w14:schemeClr w14:val="tx1"/>
            </w14:solidFill>
          </w14:textFill>
        </w:rPr>
        <w:t>4</w:t>
      </w:r>
      <w:r>
        <w:rPr>
          <w:rFonts w:hint="eastAsia" w:ascii="Times New Roman"/>
          <w:color w:val="000000" w:themeColor="text1"/>
          <w:szCs w:val="32"/>
          <w14:textFill>
            <w14:solidFill>
              <w14:schemeClr w14:val="tx1"/>
            </w14:solidFill>
          </w14:textFill>
        </w:rPr>
        <w:t>。</w:t>
      </w:r>
    </w:p>
    <w:p>
      <w:pPr>
        <w:spacing w:line="578" w:lineRule="exact"/>
        <w:ind w:firstLine="657"/>
        <w:rPr>
          <w:rFonts w:ascii="Times New Roman"/>
          <w:szCs w:val="32"/>
        </w:rPr>
      </w:pPr>
      <w:r>
        <w:rPr>
          <w:rFonts w:hint="eastAsia" w:ascii="Times New Roman"/>
          <w:b/>
          <w:color w:val="000000" w:themeColor="text1"/>
          <w:szCs w:val="32"/>
          <w14:textFill>
            <w14:solidFill>
              <w14:schemeClr w14:val="tx1"/>
            </w14:solidFill>
          </w14:textFill>
        </w:rPr>
        <w:t>第二十六条</w:t>
      </w:r>
      <w:r>
        <w:rPr>
          <w:rFonts w:ascii="Times New Roman" w:hAnsi="Times New Roman"/>
          <w:b/>
          <w:color w:val="000000" w:themeColor="text1"/>
          <w:szCs w:val="32"/>
          <w14:textFill>
            <w14:solidFill>
              <w14:schemeClr w14:val="tx1"/>
            </w14:solidFill>
          </w14:textFill>
        </w:rPr>
        <w:t xml:space="preserve"> </w:t>
      </w:r>
      <w:r>
        <w:rPr>
          <w:rFonts w:hint="eastAsia" w:ascii="Times New Roman"/>
          <w:szCs w:val="32"/>
        </w:rPr>
        <w:t>省级行业协会或委员会对企业评价申请进行初评，并将初评结果上传中价协。</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第二十七条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bCs/>
          <w:szCs w:val="32"/>
        </w:rPr>
        <w:t>中</w:t>
      </w:r>
      <w:r>
        <w:rPr>
          <w:rFonts w:hint="eastAsia" w:ascii="Times New Roman"/>
          <w:szCs w:val="32"/>
        </w:rPr>
        <w:t>价协收到省级行业协会或委员会的评价结果后，组织专家进行终评确认。</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第二十八条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中价协公示评价结果。中价协将最终评价结果在中价协网站进行公示，公示期</w:t>
      </w:r>
      <w:r>
        <w:rPr>
          <w:rFonts w:ascii="Times New Roman" w:hAnsi="Times New Roman"/>
          <w:color w:val="000000" w:themeColor="text1"/>
          <w:szCs w:val="32"/>
          <w14:textFill>
            <w14:solidFill>
              <w14:schemeClr w14:val="tx1"/>
            </w14:solidFill>
          </w14:textFill>
        </w:rPr>
        <w:t>10</w:t>
      </w:r>
      <w:r>
        <w:rPr>
          <w:rFonts w:hint="eastAsia" w:ascii="Times New Roman" w:hAnsi="Times New Roman"/>
          <w:color w:val="000000" w:themeColor="text1"/>
          <w:szCs w:val="32"/>
          <w14:textFill>
            <w14:solidFill>
              <w14:schemeClr w14:val="tx1"/>
            </w14:solidFill>
          </w14:textFill>
        </w:rPr>
        <w:t>个工作日</w:t>
      </w:r>
      <w:r>
        <w:rPr>
          <w:rFonts w:hint="eastAsia" w:ascii="Times New Roman"/>
          <w:color w:val="000000" w:themeColor="text1"/>
          <w:szCs w:val="32"/>
          <w14:textFill>
            <w14:solidFill>
              <w14:schemeClr w14:val="tx1"/>
            </w14:solidFill>
          </w14:textFill>
        </w:rPr>
        <w:t>。</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公示期内接受投诉、举报及异议申请，并按规定的流程进行处理。</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第二十九条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对评价结果有异议的企业可向</w:t>
      </w:r>
      <w:r>
        <w:rPr>
          <w:rFonts w:hint="eastAsia" w:ascii="Times New Roman"/>
          <w:szCs w:val="32"/>
        </w:rPr>
        <w:t>省级行业协会或委员会</w:t>
      </w:r>
      <w:r>
        <w:rPr>
          <w:rFonts w:hint="eastAsia" w:ascii="Times New Roman"/>
          <w:color w:val="000000" w:themeColor="text1"/>
          <w:szCs w:val="32"/>
          <w14:textFill>
            <w14:solidFill>
              <w14:schemeClr w14:val="tx1"/>
            </w14:solidFill>
          </w14:textFill>
        </w:rPr>
        <w:t>申请复核，</w:t>
      </w:r>
      <w:r>
        <w:rPr>
          <w:rFonts w:hint="eastAsia" w:ascii="Times New Roman"/>
          <w:szCs w:val="32"/>
        </w:rPr>
        <w:t>省级行业协会或委员会</w:t>
      </w:r>
      <w:r>
        <w:rPr>
          <w:rFonts w:hint="eastAsia" w:ascii="Times New Roman"/>
          <w:color w:val="000000" w:themeColor="text1"/>
          <w:szCs w:val="32"/>
          <w14:textFill>
            <w14:solidFill>
              <w14:schemeClr w14:val="tx1"/>
            </w14:solidFill>
          </w14:textFill>
        </w:rPr>
        <w:t>收到复核申请后组织复核，应将复核意见告知申请复核的企业并报中价协。</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第三十条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中价协公布</w:t>
      </w:r>
      <w:r>
        <w:rPr>
          <w:rFonts w:hint="eastAsia" w:ascii="Times New Roman"/>
          <w:color w:val="000000" w:themeColor="text1"/>
          <w:szCs w:val="32"/>
          <w:lang w:val="en-US" w:eastAsia="zh-CN"/>
          <w14:textFill>
            <w14:solidFill>
              <w14:schemeClr w14:val="tx1"/>
            </w14:solidFill>
          </w14:textFill>
        </w:rPr>
        <w:t>最终</w:t>
      </w:r>
      <w:r>
        <w:rPr>
          <w:rFonts w:hint="eastAsia" w:ascii="Times New Roman"/>
          <w:color w:val="000000" w:themeColor="text1"/>
          <w:szCs w:val="32"/>
          <w14:textFill>
            <w14:solidFill>
              <w14:schemeClr w14:val="tx1"/>
            </w14:solidFill>
          </w14:textFill>
        </w:rPr>
        <w:t>评价结果。中价协对经公示无异议的企业信用等级向社会发布。</w:t>
      </w:r>
    </w:p>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第八章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信用等级管理</w:t>
      </w:r>
    </w:p>
    <w:p>
      <w:pPr>
        <w:spacing w:line="578" w:lineRule="exact"/>
        <w:ind w:firstLine="657"/>
        <w:rPr>
          <w:rFonts w:ascii="Times New Roman"/>
          <w:b/>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第三十一条</w:t>
      </w:r>
      <w:r>
        <w:rPr>
          <w:rFonts w:ascii="Times New Roman"/>
          <w:b/>
          <w:color w:val="000000" w:themeColor="text1"/>
          <w:szCs w:val="32"/>
          <w14:textFill>
            <w14:solidFill>
              <w14:schemeClr w14:val="tx1"/>
            </w14:solidFill>
          </w14:textFill>
        </w:rPr>
        <w:t xml:space="preserve"> </w:t>
      </w:r>
      <w:r>
        <w:rPr>
          <w:rFonts w:hint="eastAsia" w:ascii="Times New Roman"/>
          <w:bCs/>
          <w:color w:val="000000" w:themeColor="text1"/>
          <w:szCs w:val="32"/>
          <w14:textFill>
            <w14:solidFill>
              <w14:schemeClr w14:val="tx1"/>
            </w14:solidFill>
          </w14:textFill>
        </w:rPr>
        <w:t>工程造价咨询企业信用等级实行动态评价，动态管理，</w:t>
      </w:r>
      <w:r>
        <w:rPr>
          <w:rFonts w:hint="eastAsia" w:ascii="Times New Roman"/>
          <w:color w:val="000000" w:themeColor="text1"/>
          <w:szCs w:val="32"/>
          <w14:textFill>
            <w14:solidFill>
              <w14:schemeClr w14:val="tx1"/>
            </w14:solidFill>
          </w14:textFill>
        </w:rPr>
        <w:t>每评定周期末中价协向社会发布的信用等级记入历史信用记录。</w:t>
      </w:r>
      <w:r>
        <w:rPr>
          <w:rFonts w:hint="eastAsia" w:ascii="Times New Roman"/>
          <w:bCs/>
          <w:color w:val="000000" w:themeColor="text1"/>
          <w:szCs w:val="32"/>
          <w14:textFill>
            <w14:solidFill>
              <w14:schemeClr w14:val="tx1"/>
            </w14:solidFill>
          </w14:textFill>
        </w:rPr>
        <w:t xml:space="preserve"> </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第三十二条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中价协、</w:t>
      </w:r>
      <w:r>
        <w:rPr>
          <w:rFonts w:hint="eastAsia" w:ascii="Times New Roman"/>
          <w:szCs w:val="32"/>
        </w:rPr>
        <w:t>省级行业协会或委员会</w:t>
      </w:r>
      <w:r>
        <w:rPr>
          <w:rFonts w:hint="eastAsia" w:ascii="Times New Roman"/>
          <w:color w:val="000000" w:themeColor="text1"/>
          <w:szCs w:val="32"/>
          <w14:textFill>
            <w14:solidFill>
              <w14:schemeClr w14:val="tx1"/>
            </w14:solidFill>
          </w14:textFill>
        </w:rPr>
        <w:t>应结合行业自律、质量检查等制度加强监督检查，强化对工程造价咨询企业的动态管理，及时查处不良行为，进行行业惩戒，并及时归集企业不良行为信息，录入信用评价系统，调整信用评价分值及相应信用等级。</w:t>
      </w:r>
    </w:p>
    <w:p>
      <w:pPr>
        <w:spacing w:line="578" w:lineRule="exact"/>
        <w:ind w:firstLine="657"/>
        <w:rPr>
          <w:rFonts w:ascii="Times New Roman"/>
          <w:szCs w:val="32"/>
        </w:rPr>
      </w:pPr>
      <w:r>
        <w:rPr>
          <w:rFonts w:hint="eastAsia" w:ascii="Times New Roman"/>
          <w:b/>
          <w:color w:val="000000" w:themeColor="text1"/>
          <w:szCs w:val="32"/>
          <w14:textFill>
            <w14:solidFill>
              <w14:schemeClr w14:val="tx1"/>
            </w14:solidFill>
          </w14:textFill>
        </w:rPr>
        <w:t>第三十三条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szCs w:val="32"/>
        </w:rPr>
        <w:t>已取得信用等级的工程造价咨询企业如发生企业名称、企业地址、联系人等信息变更</w:t>
      </w:r>
      <w:r>
        <w:rPr>
          <w:rFonts w:hint="eastAsia" w:ascii="Times New Roman"/>
          <w:szCs w:val="32"/>
        </w:rPr>
        <w:t>应及时更新信用评价系统内信息；企业发生分立、合并</w:t>
      </w:r>
      <w:r>
        <w:rPr>
          <w:rFonts w:hint="eastAsia" w:ascii="Times New Roman"/>
          <w:szCs w:val="32"/>
          <w:lang w:val="en-US" w:eastAsia="zh-CN"/>
        </w:rPr>
        <w:t>且</w:t>
      </w:r>
      <w:r>
        <w:rPr>
          <w:rFonts w:hint="eastAsia" w:ascii="Times New Roman"/>
          <w:szCs w:val="32"/>
        </w:rPr>
        <w:t>统一社会信用代码变更的，应重新申请信用评价。</w:t>
      </w:r>
    </w:p>
    <w:p>
      <w:pPr>
        <w:pStyle w:val="3"/>
        <w:spacing w:line="578" w:lineRule="exact"/>
        <w:ind w:firstLine="657"/>
        <w:rPr>
          <w:rFonts w:ascii="仿宋" w:hAnsi="仿宋" w:eastAsia="仿宋"/>
          <w:color w:val="000000" w:themeColor="text1"/>
          <w:sz w:val="32"/>
          <w:szCs w:val="32"/>
          <w14:textFill>
            <w14:solidFill>
              <w14:schemeClr w14:val="tx1"/>
            </w14:solidFill>
          </w14:textFill>
        </w:rPr>
      </w:pPr>
      <w:r>
        <w:rPr>
          <w:rFonts w:hint="eastAsia" w:ascii="仿宋" w:hAnsi="仿宋" w:eastAsia="仿宋"/>
          <w:b/>
          <w:bCs w:val="0"/>
          <w:color w:val="000000" w:themeColor="text1"/>
          <w:sz w:val="32"/>
          <w:szCs w:val="32"/>
          <w14:textFill>
            <w14:solidFill>
              <w14:schemeClr w14:val="tx1"/>
            </w14:solidFill>
          </w14:textFill>
        </w:rPr>
        <w:t>第三十四条</w:t>
      </w:r>
      <w:r>
        <w:rPr>
          <w:rFonts w:hint="eastAsia" w:ascii="仿宋" w:hAnsi="仿宋" w:eastAsia="仿宋"/>
          <w:color w:val="000000" w:themeColor="text1"/>
          <w:sz w:val="32"/>
          <w:szCs w:val="32"/>
          <w14:textFill>
            <w14:solidFill>
              <w14:schemeClr w14:val="tx1"/>
            </w14:solidFill>
          </w14:textFill>
        </w:rPr>
        <w:t xml:space="preserve"> 信用评价内容分为静态指标和动态指标：</w:t>
      </w:r>
    </w:p>
    <w:p>
      <w:pPr>
        <w:pStyle w:val="3"/>
        <w:spacing w:line="578" w:lineRule="exact"/>
        <w:ind w:firstLine="654"/>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（一）动态指标指人员结构、经营能力等可以从工程造价咨询统计调查系统、全国工程造价咨询管理系统、会员服务系统等获取的指标。</w:t>
      </w:r>
    </w:p>
    <w:p>
      <w:pPr>
        <w:pStyle w:val="3"/>
        <w:spacing w:line="578" w:lineRule="exact"/>
        <w:ind w:firstLine="654"/>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动态指标定期更新并自动计算出相应分数，当分数无法满足当前等级标准时，系统将予降级处理，企业可重新申请信用评价。</w:t>
      </w:r>
    </w:p>
    <w:p>
      <w:pPr>
        <w:pStyle w:val="3"/>
        <w:spacing w:line="578" w:lineRule="exact"/>
        <w:ind w:firstLine="654"/>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（二）静态指标指各类组织、管理能力、教育培训、信息化、文化建设与社会责任、良好行为和不良行为等无法从相应系统获取的指标。</w:t>
      </w:r>
    </w:p>
    <w:p>
      <w:pPr>
        <w:pStyle w:val="3"/>
        <w:spacing w:line="578" w:lineRule="exact"/>
        <w:ind w:left="176" w:firstLine="654"/>
        <w:rPr>
          <w:rFonts w:ascii="仿宋" w:hAnsi="仿宋"/>
          <w:color w:val="000000" w:themeColor="text1"/>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静态指标需企业主动更新相关指标，涉及评价等级变化的，需重新申请信用评价。</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第三十五条</w:t>
      </w:r>
      <w:r>
        <w:rPr>
          <w:rFonts w:hint="eastAsia"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取得信用等级的工程造价咨询企业，发生严重不良行为的，中价协应给予降低信用等级处分。本条所指严重不良行为包括：</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（一）企业法定代表人、技术负责人因本企业职务行为受到刑事处罚或严重的行政处罚；</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（二）企业或企业的法定代表人、技术负责人受到行业协会公开谴责惩戒；</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（三）企业提供虚假评价材料或拒绝接受造价行业管理机构及中价协、</w:t>
      </w:r>
      <w:r>
        <w:rPr>
          <w:rFonts w:hint="eastAsia" w:ascii="Times New Roman"/>
          <w:szCs w:val="32"/>
        </w:rPr>
        <w:t>省级行业协会、委员会</w:t>
      </w:r>
      <w:r>
        <w:rPr>
          <w:rFonts w:hint="eastAsia" w:ascii="Times New Roman"/>
          <w:color w:val="000000" w:themeColor="text1"/>
          <w:szCs w:val="32"/>
          <w14:textFill>
            <w14:solidFill>
              <w14:schemeClr w14:val="tx1"/>
            </w14:solidFill>
          </w14:textFill>
        </w:rPr>
        <w:t>监督检查，情节严重，经查属实；</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color w:val="000000" w:themeColor="text1"/>
          <w:szCs w:val="32"/>
          <w14:textFill>
            <w14:solidFill>
              <w14:schemeClr w14:val="tx1"/>
            </w14:solidFill>
          </w14:textFill>
        </w:rPr>
        <w:t>（四）有法律、法规、规章及行业规定的其他严重违法、违规行为。</w:t>
      </w:r>
    </w:p>
    <w:p>
      <w:pPr>
        <w:spacing w:line="578" w:lineRule="exact"/>
        <w:ind w:firstLine="657"/>
        <w:rPr>
          <w:rFonts w:asci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第三十六条</w:t>
      </w:r>
      <w:r>
        <w:rPr>
          <w:rFonts w:ascii="Times New Roman" w:hAnsi="Times New Roman"/>
          <w:b/>
          <w:color w:val="000000" w:themeColor="text1"/>
          <w:szCs w:val="32"/>
          <w14:textFill>
            <w14:solidFill>
              <w14:schemeClr w14:val="tx1"/>
            </w14:solidFill>
          </w14:textFill>
        </w:rPr>
        <w:t xml:space="preserve"> </w:t>
      </w:r>
      <w:r>
        <w:rPr>
          <w:rFonts w:hint="eastAsia" w:ascii="Times New Roman"/>
          <w:color w:val="000000" w:themeColor="text1"/>
          <w:szCs w:val="32"/>
          <w14:textFill>
            <w14:solidFill>
              <w14:schemeClr w14:val="tx1"/>
            </w14:solidFill>
          </w14:textFill>
        </w:rPr>
        <w:t>被降低信用等级的企业由中价协在信用评价系统中进行及时调整，省级行业协会及委员会在杂志（包括自办刊物）、报纸、网站等新闻媒介予以公布。</w:t>
      </w:r>
    </w:p>
    <w:p>
      <w:pPr>
        <w:spacing w:line="578" w:lineRule="exact"/>
        <w:ind w:firstLine="657"/>
        <w:rPr>
          <w:rFonts w:ascii="Times New Roman"/>
          <w:color w:val="000000" w:themeColor="text1"/>
          <w:szCs w:val="32"/>
          <w14:textFill>
            <w14:solidFill>
              <w14:schemeClr w14:val="tx1"/>
            </w14:solidFill>
          </w14:textFill>
        </w:rPr>
      </w:pPr>
      <w:r>
        <w:rPr>
          <w:rFonts w:hint="eastAsia" w:ascii="Times New Roman"/>
          <w:b/>
          <w:bCs/>
          <w:color w:val="000000" w:themeColor="text1"/>
          <w:szCs w:val="32"/>
          <w14:textFill>
            <w14:solidFill>
              <w14:schemeClr w14:val="tx1"/>
            </w14:solidFill>
          </w14:textFill>
        </w:rPr>
        <w:t>第三十七条</w:t>
      </w:r>
      <w:r>
        <w:rPr>
          <w:rFonts w:hint="eastAsia" w:ascii="Times New Roman"/>
          <w:color w:val="000000" w:themeColor="text1"/>
          <w:szCs w:val="32"/>
          <w14:textFill>
            <w14:solidFill>
              <w14:schemeClr w14:val="tx1"/>
            </w14:solidFill>
          </w14:textFill>
        </w:rPr>
        <w:t xml:space="preserve"> 中价协鼓励企业通过整改，纠正失信行为、消除不良影响，实现信用修复。</w:t>
      </w:r>
    </w:p>
    <w:p>
      <w:pPr>
        <w:spacing w:line="578" w:lineRule="exact"/>
        <w:ind w:firstLine="657"/>
        <w:rPr>
          <w:rFonts w:ascii="Times New Roman"/>
          <w:bCs/>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 xml:space="preserve">第三十八条 </w:t>
      </w:r>
      <w:r>
        <w:rPr>
          <w:rFonts w:hint="eastAsia" w:ascii="Times New Roman"/>
          <w:bCs/>
          <w:color w:val="000000" w:themeColor="text1"/>
          <w:szCs w:val="32"/>
          <w14:textFill>
            <w14:solidFill>
              <w14:schemeClr w14:val="tx1"/>
            </w14:solidFill>
          </w14:textFill>
        </w:rPr>
        <w:t>信用修复，是指信用主体为积极改善自身信用状况，在整改纠正失信行为、消除不良影响后，向认定失信信息的单位或归集失信信息的信用平台网站的运行机构提出申请，由认定单位或归集机构按照有关规定，将信用主体移出严重失信主体名单，终止失信信息公示，以及标注、屏蔽或删除失信信息等行为。</w:t>
      </w:r>
    </w:p>
    <w:p>
      <w:pPr>
        <w:spacing w:line="578" w:lineRule="exact"/>
        <w:ind w:firstLine="654"/>
        <w:rPr>
          <w:rFonts w:ascii="Times New Roman"/>
          <w:b/>
          <w:color w:val="000000" w:themeColor="text1"/>
          <w:szCs w:val="32"/>
          <w14:textFill>
            <w14:solidFill>
              <w14:schemeClr w14:val="tx1"/>
            </w14:solidFill>
          </w14:textFill>
        </w:rPr>
      </w:pPr>
      <w:r>
        <w:rPr>
          <w:rFonts w:hint="eastAsia" w:ascii="Times New Roman"/>
          <w:bCs/>
          <w:color w:val="000000" w:themeColor="text1"/>
          <w:szCs w:val="32"/>
          <w14:textFill>
            <w14:solidFill>
              <w14:schemeClr w14:val="tx1"/>
            </w14:solidFill>
          </w14:textFill>
        </w:rPr>
        <w:t>信用修复后在系统内上传已修复的证明材料，中价协将恢复其相应分值和等级。</w:t>
      </w:r>
    </w:p>
    <w:p>
      <w:pPr>
        <w:spacing w:line="578" w:lineRule="exact"/>
        <w:rPr>
          <w:rFonts w:ascii="Times New Roman"/>
          <w:color w:val="000000" w:themeColor="text1"/>
          <w:szCs w:val="32"/>
          <w14:textFill>
            <w14:solidFill>
              <w14:schemeClr w14:val="tx1"/>
            </w14:solidFill>
          </w14:textFill>
        </w:rPr>
      </w:pPr>
      <w:r>
        <w:rPr>
          <w:rFonts w:hint="eastAsia" w:ascii="Times New Roman"/>
          <w:b/>
          <w:bCs/>
          <w:szCs w:val="32"/>
        </w:rPr>
        <w:t>第三十九条</w:t>
      </w:r>
      <w:r>
        <w:rPr>
          <w:rFonts w:hint="eastAsia" w:ascii="Times New Roman"/>
          <w:szCs w:val="32"/>
        </w:rPr>
        <w:t xml:space="preserve"> 工程造价咨询企业信用评价等级证书有效期为三年，企业应至少在有效期满前三个月内，重新申请信用评价。</w:t>
      </w:r>
    </w:p>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第九章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信用等级应用</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b/>
          <w:color w:val="000000" w:themeColor="text1"/>
          <w:szCs w:val="32"/>
          <w14:textFill>
            <w14:solidFill>
              <w14:schemeClr w14:val="tx1"/>
            </w14:solidFill>
          </w14:textFill>
        </w:rPr>
        <w:t>第四十条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中价协信用评价系统向社会公开，提供实时查询，接受社会监督。</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 xml:space="preserve">第四十一条 </w:t>
      </w:r>
      <w:r>
        <w:rPr>
          <w:rFonts w:hint="eastAsia" w:ascii="Times New Roman" w:hAnsi="Times New Roman"/>
          <w:b w:val="0"/>
          <w:bCs/>
          <w:color w:val="000000" w:themeColor="text1"/>
          <w:szCs w:val="32"/>
          <w14:textFill>
            <w14:solidFill>
              <w14:schemeClr w14:val="tx1"/>
            </w14:solidFill>
          </w14:textFill>
        </w:rPr>
        <w:t>中价协鼓励和支持</w:t>
      </w:r>
      <w:r>
        <w:rPr>
          <w:rFonts w:hint="eastAsia" w:ascii="Times New Roman" w:hAnsi="Times New Roman"/>
          <w:color w:val="000000" w:themeColor="text1"/>
          <w:szCs w:val="32"/>
          <w14:textFill>
            <w14:solidFill>
              <w14:schemeClr w14:val="tx1"/>
            </w14:solidFill>
          </w14:textFill>
        </w:rPr>
        <w:t>省级行业协会及委员会通过杂志（包括自办刊物）、报纸、网站等新闻媒介将其评价的工程造价咨询企业的信用等级对社会宣传。</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第四十二条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被评价企业动态信用分值、信用等级、各项信用记录可在信用评价系统实时查看，往期信用等级及能力也可在系统上公开查询。</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第四十三条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信用评价结果的运用：</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（一）根据需要上报政府信用管理相关部门；</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（二）与政府其它职能部门及银行、保险机构等共享；</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（三）企业对社会公众进行宣传；</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（四）鼓励社会主体在委托工程造价咨询业务时使用本评价结果作为重要评价指标之一；</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由于信用等级是动态的，社会主体在使用信用等级作为招标或直接选取造价咨询企业指标的，应明确信用等级的时点；</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（五）公布参评企业的造价咨询项目专业特色，供社会主体选择造价咨询中介机构时参考；</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（六）中价协、</w:t>
      </w:r>
      <w:r>
        <w:rPr>
          <w:rFonts w:hint="eastAsia" w:ascii="Times New Roman"/>
          <w:szCs w:val="32"/>
        </w:rPr>
        <w:t>省级行业协会、委员会</w:t>
      </w:r>
      <w:r>
        <w:rPr>
          <w:rFonts w:hint="eastAsia" w:ascii="Times New Roman" w:hAnsi="Times New Roman"/>
          <w:color w:val="000000" w:themeColor="text1"/>
          <w:szCs w:val="32"/>
          <w14:textFill>
            <w14:solidFill>
              <w14:schemeClr w14:val="tx1"/>
            </w14:solidFill>
          </w14:textFill>
        </w:rPr>
        <w:t>对其评价的信用等级高、能力范围广的企业，给予以下激励措施：</w:t>
      </w:r>
    </w:p>
    <w:p>
      <w:pPr>
        <w:spacing w:line="578" w:lineRule="exact"/>
        <w:ind w:firstLine="654"/>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1.</w:t>
      </w:r>
      <w:r>
        <w:rPr>
          <w:rFonts w:hint="eastAsia" w:ascii="Times New Roman" w:hAnsi="Times New Roman"/>
          <w:color w:val="000000" w:themeColor="text1"/>
          <w:szCs w:val="32"/>
          <w14:textFill>
            <w14:solidFill>
              <w14:schemeClr w14:val="tx1"/>
            </w14:solidFill>
          </w14:textFill>
        </w:rPr>
        <w:t>在杂志（包括自办刊物）、报纸、网站等新闻媒介刊登宣传；</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2.给予更多机会参与造价行业管理机构或协会组织的调研、学术研究等活动；</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3.减少监督检查的频次；</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4.向需求单位推荐。</w:t>
      </w:r>
    </w:p>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第十章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监督和管理</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第四十四条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申请信用评价的工程造价咨询企业，对申报内容的真实性、合法性、有效性负责，对因提供虚假材料引发的一切后果承担相应责任。</w:t>
      </w:r>
    </w:p>
    <w:p>
      <w:pPr>
        <w:spacing w:line="578" w:lineRule="exact"/>
        <w:ind w:firstLine="657"/>
        <w:rPr>
          <w:rFonts w:ascii="Times New Roman" w:hAnsi="Times New Roman"/>
          <w:color w:val="000000" w:themeColor="text1"/>
          <w:szCs w:val="32"/>
          <w:shd w:val="pct10" w:color="auto" w:fill="FFFFFF"/>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第四十五条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参评企业在中价协信用信息平台已建立的信用档案内容与申报内容有差异的，以信息平台记录的信息内容作为评价依据。出现重大差异的，查实后进行修正，并对填报企业虚报、瞒报的不良行为进行处理。</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第四十六条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对信用评价结果有异议的企业，可向</w:t>
      </w:r>
      <w:r>
        <w:rPr>
          <w:rFonts w:hint="eastAsia" w:ascii="Times New Roman"/>
          <w:szCs w:val="32"/>
        </w:rPr>
        <w:t>省级行业协会、委员会</w:t>
      </w:r>
      <w:r>
        <w:rPr>
          <w:rFonts w:hint="eastAsia" w:ascii="Times New Roman" w:hAnsi="Times New Roman"/>
          <w:color w:val="000000" w:themeColor="text1"/>
          <w:szCs w:val="32"/>
          <w14:textFill>
            <w14:solidFill>
              <w14:schemeClr w14:val="tx1"/>
            </w14:solidFill>
          </w14:textFill>
        </w:rPr>
        <w:t>或中价协实名书面提出申诉，并提供书面证明材料。</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第四十七条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信用评价结果接受社会监督。</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第四十八条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中价协、</w:t>
      </w:r>
      <w:r>
        <w:rPr>
          <w:rFonts w:hint="eastAsia" w:ascii="Times New Roman"/>
          <w:szCs w:val="32"/>
        </w:rPr>
        <w:t>省级行业协会、委员会</w:t>
      </w:r>
      <w:r>
        <w:rPr>
          <w:rFonts w:hint="eastAsia" w:ascii="Times New Roman" w:hAnsi="Times New Roman"/>
          <w:color w:val="000000" w:themeColor="text1"/>
          <w:szCs w:val="32"/>
          <w14:textFill>
            <w14:solidFill>
              <w14:schemeClr w14:val="tx1"/>
            </w14:solidFill>
          </w14:textFill>
        </w:rPr>
        <w:t>对其信用评价工作的真实性和公正性承担责任，并接受上级部门和社会监督。</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第四十九条</w:t>
      </w:r>
      <w:r>
        <w:rPr>
          <w:rFonts w:ascii="Times New Roman" w:hAnsi="Times New Roman"/>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参加信用等级评价的工作人员应认真履行职责，不得徇私舞弊。</w:t>
      </w: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ascii="Times New Roman" w:hAnsi="Times New Roman"/>
          <w:color w:val="000000" w:themeColor="text1"/>
          <w:szCs w:val="32"/>
          <w14:textFill>
            <w14:solidFill>
              <w14:schemeClr w14:val="tx1"/>
            </w14:solidFill>
          </w14:textFill>
        </w:rPr>
        <w:t>参与评价工作的单位和个人违反本办法规定的，责令其改正；在工作中玩忽职守、弄虚作假、滥用职权、徇私舞弊的，提请相关单位进行处理；涉嫌犯罪的，提请司法机关依法追究其刑事责任。</w:t>
      </w:r>
    </w:p>
    <w:p>
      <w:pPr>
        <w:pStyle w:val="2"/>
        <w:spacing w:line="578" w:lineRule="exact"/>
        <w:ind w:firstLine="654"/>
        <w:jc w:val="center"/>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第十一章</w:t>
      </w:r>
      <w:r>
        <w:rPr>
          <w:rFonts w:ascii="黑体" w:hAnsi="黑体" w:eastAsia="黑体"/>
          <w:b w:val="0"/>
          <w:bCs w:val="0"/>
          <w:color w:val="000000" w:themeColor="text1"/>
          <w:sz w:val="32"/>
          <w:szCs w:val="32"/>
          <w14:textFill>
            <w14:solidFill>
              <w14:schemeClr w14:val="tx1"/>
            </w14:solidFill>
          </w14:textFill>
        </w:rPr>
        <w:t xml:space="preserve">  </w:t>
      </w:r>
      <w:r>
        <w:rPr>
          <w:rFonts w:hint="eastAsia" w:ascii="黑体" w:hAnsi="黑体" w:eastAsia="黑体"/>
          <w:b w:val="0"/>
          <w:bCs w:val="0"/>
          <w:color w:val="000000" w:themeColor="text1"/>
          <w:sz w:val="32"/>
          <w:szCs w:val="32"/>
          <w14:textFill>
            <w14:solidFill>
              <w14:schemeClr w14:val="tx1"/>
            </w14:solidFill>
          </w14:textFill>
        </w:rPr>
        <w:t>附则</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第五十条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s="仿宋_GB2312"/>
          <w:color w:val="000000" w:themeColor="text1"/>
          <w:szCs w:val="32"/>
          <w14:textFill>
            <w14:solidFill>
              <w14:schemeClr w14:val="tx1"/>
            </w14:solidFill>
          </w14:textFill>
        </w:rPr>
        <w:t>本办法</w:t>
      </w:r>
      <w:r>
        <w:rPr>
          <w:rFonts w:hint="eastAsia" w:ascii="Times New Roman" w:hAnsi="Times New Roman"/>
          <w:color w:val="000000" w:themeColor="text1"/>
          <w:szCs w:val="32"/>
          <w14:textFill>
            <w14:solidFill>
              <w14:schemeClr w14:val="tx1"/>
            </w14:solidFill>
          </w14:textFill>
        </w:rPr>
        <w:t>由中价协组织制定，省级行业协会及委员会可依据本办法制定具体实施细则。</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第五十一条</w:t>
      </w:r>
      <w:r>
        <w:rPr>
          <w:rFonts w:ascii="Times New Roman" w:hAnsi="Times New Roman"/>
          <w:b/>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本办法所称“省级”，包括自治区、直辖市。</w:t>
      </w:r>
    </w:p>
    <w:p>
      <w:pPr>
        <w:spacing w:line="578" w:lineRule="exact"/>
        <w:ind w:firstLine="657"/>
        <w:rPr>
          <w:rFonts w:ascii="Times New Roman" w:hAnsi="Times New Roman"/>
          <w:color w:val="000000" w:themeColor="text1"/>
          <w:szCs w:val="32"/>
          <w14:textFill>
            <w14:solidFill>
              <w14:schemeClr w14:val="tx1"/>
            </w14:solidFill>
          </w14:textFill>
        </w:rPr>
      </w:pPr>
      <w:r>
        <w:rPr>
          <w:rFonts w:hint="eastAsia" w:ascii="Times New Roman" w:hAnsi="Times New Roman"/>
          <w:b/>
          <w:color w:val="000000" w:themeColor="text1"/>
          <w:szCs w:val="32"/>
          <w14:textFill>
            <w14:solidFill>
              <w14:schemeClr w14:val="tx1"/>
            </w14:solidFill>
          </w14:textFill>
        </w:rPr>
        <w:t>第五十二条</w:t>
      </w:r>
      <w:r>
        <w:rPr>
          <w:rFonts w:ascii="Times New Roman" w:hAnsi="Times New Roman"/>
          <w:color w:val="000000" w:themeColor="text1"/>
          <w:szCs w:val="32"/>
          <w14:textFill>
            <w14:solidFill>
              <w14:schemeClr w14:val="tx1"/>
            </w14:solidFill>
          </w14:textFill>
        </w:rPr>
        <w:t xml:space="preserve"> </w:t>
      </w:r>
      <w:r>
        <w:rPr>
          <w:rFonts w:hint="eastAsia" w:ascii="Times New Roman" w:hAnsi="Times New Roman"/>
          <w:color w:val="000000" w:themeColor="text1"/>
          <w:szCs w:val="32"/>
          <w14:textFill>
            <w14:solidFill>
              <w14:schemeClr w14:val="tx1"/>
            </w14:solidFill>
          </w14:textFill>
        </w:rPr>
        <w:t>本办法由中价协负责解释。</w:t>
      </w:r>
    </w:p>
    <w:p>
      <w:pPr>
        <w:spacing w:line="578" w:lineRule="exact"/>
        <w:ind w:firstLine="657"/>
        <w:rPr>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第五十三条</w:t>
      </w:r>
      <w:r>
        <w:rPr>
          <w:b/>
          <w:color w:val="000000" w:themeColor="text1"/>
          <w:szCs w:val="32"/>
          <w14:textFill>
            <w14:solidFill>
              <w14:schemeClr w14:val="tx1"/>
            </w14:solidFill>
          </w14:textFill>
        </w:rPr>
        <w:t xml:space="preserve"> </w:t>
      </w:r>
      <w:r>
        <w:rPr>
          <w:rFonts w:hint="eastAsia"/>
          <w:color w:val="000000" w:themeColor="text1"/>
          <w:szCs w:val="32"/>
          <w14:textFill>
            <w14:solidFill>
              <w14:schemeClr w14:val="tx1"/>
            </w14:solidFill>
          </w14:textFill>
        </w:rPr>
        <w:t>本办法</w:t>
      </w:r>
      <w:r>
        <w:rPr>
          <w:rFonts w:hint="eastAsia" w:ascii="仿宋" w:hAnsi="仿宋"/>
          <w:color w:val="000000" w:themeColor="text1"/>
          <w:szCs w:val="32"/>
          <w14:textFill>
            <w14:solidFill>
              <w14:schemeClr w14:val="tx1"/>
            </w14:solidFill>
          </w14:textFill>
        </w:rPr>
        <w:t>自2</w:t>
      </w:r>
      <w:r>
        <w:rPr>
          <w:rFonts w:ascii="仿宋" w:hAnsi="仿宋"/>
          <w:color w:val="000000" w:themeColor="text1"/>
          <w:szCs w:val="32"/>
          <w14:textFill>
            <w14:solidFill>
              <w14:schemeClr w14:val="tx1"/>
            </w14:solidFill>
          </w14:textFill>
        </w:rPr>
        <w:t>0</w:t>
      </w:r>
      <w:r>
        <w:rPr>
          <w:rFonts w:hint="eastAsia" w:ascii="仿宋" w:hAnsi="仿宋"/>
          <w:color w:val="000000" w:themeColor="text1"/>
          <w:szCs w:val="32"/>
          <w:lang w:val="en-US" w:eastAsia="zh-CN"/>
          <w14:textFill>
            <w14:solidFill>
              <w14:schemeClr w14:val="tx1"/>
            </w14:solidFill>
          </w14:textFill>
        </w:rPr>
        <w:t>22</w:t>
      </w:r>
      <w:r>
        <w:rPr>
          <w:rFonts w:hint="eastAsia" w:ascii="仿宋" w:hAnsi="仿宋"/>
          <w:color w:val="000000" w:themeColor="text1"/>
          <w:szCs w:val="32"/>
          <w14:textFill>
            <w14:solidFill>
              <w14:schemeClr w14:val="tx1"/>
            </w14:solidFill>
          </w14:textFill>
        </w:rPr>
        <w:t>年</w:t>
      </w:r>
      <w:r>
        <w:rPr>
          <w:rFonts w:hint="eastAsia" w:ascii="仿宋" w:hAnsi="仿宋"/>
          <w:color w:val="000000" w:themeColor="text1"/>
          <w:szCs w:val="32"/>
          <w:lang w:val="en-US" w:eastAsia="zh-CN"/>
          <w14:textFill>
            <w14:solidFill>
              <w14:schemeClr w14:val="tx1"/>
            </w14:solidFill>
          </w14:textFill>
        </w:rPr>
        <w:t xml:space="preserve"> </w:t>
      </w:r>
      <w:r>
        <w:rPr>
          <w:rFonts w:hint="eastAsia" w:ascii="仿宋" w:hAnsi="仿宋"/>
          <w:color w:val="000000" w:themeColor="text1"/>
          <w:szCs w:val="32"/>
          <w14:textFill>
            <w14:solidFill>
              <w14:schemeClr w14:val="tx1"/>
            </w14:solidFill>
          </w14:textFill>
        </w:rPr>
        <w:t>月</w:t>
      </w:r>
      <w:r>
        <w:rPr>
          <w:rFonts w:hint="eastAsia" w:ascii="仿宋" w:hAnsi="仿宋"/>
          <w:color w:val="000000" w:themeColor="text1"/>
          <w:szCs w:val="32"/>
          <w:lang w:val="en-US" w:eastAsia="zh-CN"/>
          <w14:textFill>
            <w14:solidFill>
              <w14:schemeClr w14:val="tx1"/>
            </w14:solidFill>
          </w14:textFill>
        </w:rPr>
        <w:t xml:space="preserve"> </w:t>
      </w:r>
      <w:r>
        <w:rPr>
          <w:rFonts w:hint="eastAsia" w:ascii="仿宋" w:hAnsi="仿宋"/>
          <w:color w:val="000000" w:themeColor="text1"/>
          <w:szCs w:val="32"/>
          <w14:textFill>
            <w14:solidFill>
              <w14:schemeClr w14:val="tx1"/>
            </w14:solidFill>
          </w14:textFill>
        </w:rPr>
        <w:t>日起</w:t>
      </w:r>
      <w:r>
        <w:rPr>
          <w:rFonts w:hint="eastAsia"/>
          <w:color w:val="000000" w:themeColor="text1"/>
          <w:szCs w:val="32"/>
          <w14:textFill>
            <w14:solidFill>
              <w14:schemeClr w14:val="tx1"/>
            </w14:solidFill>
          </w14:textFill>
        </w:rPr>
        <w:t>施行，《工程造价咨询企业信用评价管理办法》中价协（2</w:t>
      </w:r>
      <w:r>
        <w:rPr>
          <w:color w:val="000000" w:themeColor="text1"/>
          <w:szCs w:val="32"/>
          <w14:textFill>
            <w14:solidFill>
              <w14:schemeClr w14:val="tx1"/>
            </w14:solidFill>
          </w14:textFill>
        </w:rPr>
        <w:t>019</w:t>
      </w:r>
      <w:r>
        <w:rPr>
          <w:rFonts w:hint="eastAsia"/>
          <w:color w:val="000000" w:themeColor="text1"/>
          <w:szCs w:val="32"/>
          <w14:textFill>
            <w14:solidFill>
              <w14:schemeClr w14:val="tx1"/>
            </w14:solidFill>
          </w14:textFill>
        </w:rPr>
        <w:t>）</w:t>
      </w:r>
      <w:r>
        <w:rPr>
          <w:color w:val="000000" w:themeColor="text1"/>
          <w:szCs w:val="32"/>
          <w14:textFill>
            <w14:solidFill>
              <w14:schemeClr w14:val="tx1"/>
            </w14:solidFill>
          </w14:textFill>
        </w:rPr>
        <w:t>64</w:t>
      </w:r>
      <w:r>
        <w:rPr>
          <w:rFonts w:hint="eastAsia"/>
          <w:color w:val="000000" w:themeColor="text1"/>
          <w:szCs w:val="32"/>
          <w14:textFill>
            <w14:solidFill>
              <w14:schemeClr w14:val="tx1"/>
            </w14:solidFill>
          </w14:textFill>
        </w:rPr>
        <w:t>号同时废止。</w:t>
      </w:r>
    </w:p>
    <w:p>
      <w:pPr>
        <w:spacing w:line="578" w:lineRule="exact"/>
        <w:ind w:firstLine="654"/>
        <w:rPr>
          <w:color w:val="000000" w:themeColor="text1"/>
          <w:szCs w:val="32"/>
          <w14:textFill>
            <w14:solidFill>
              <w14:schemeClr w14:val="tx1"/>
            </w14:solidFill>
          </w14:textFill>
        </w:rPr>
      </w:pPr>
    </w:p>
    <w:p>
      <w:pPr>
        <w:spacing w:line="578" w:lineRule="exact"/>
        <w:ind w:firstLine="654"/>
        <w:rPr>
          <w:rFonts w:ascii="Times New Roman" w:hAnsi="Times New Roman"/>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附件：</w:t>
      </w:r>
      <w:r>
        <w:rPr>
          <w:rFonts w:ascii="Times New Roman" w:hAnsi="Times New Roman"/>
          <w:color w:val="000000" w:themeColor="text1"/>
          <w:szCs w:val="32"/>
          <w14:textFill>
            <w14:solidFill>
              <w14:schemeClr w14:val="tx1"/>
            </w14:solidFill>
          </w14:textFill>
        </w:rPr>
        <w:t>1</w:t>
      </w:r>
      <w:r>
        <w:rPr>
          <w:rFonts w:hint="eastAsia" w:ascii="Times New Roman" w:hAnsi="Times New Roman"/>
          <w:color w:val="000000" w:themeColor="text1"/>
          <w:szCs w:val="32"/>
          <w14:textFill>
            <w14:solidFill>
              <w14:schemeClr w14:val="tx1"/>
            </w14:solidFill>
          </w14:textFill>
        </w:rPr>
        <w:t>. 工程造价咨询企业信用评价标准</w:t>
      </w:r>
    </w:p>
    <w:p>
      <w:pPr>
        <w:spacing w:line="578" w:lineRule="exact"/>
        <w:ind w:left="2125" w:leftChars="500" w:hanging="490" w:hangingChars="150"/>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2</w:t>
      </w:r>
      <w:r>
        <w:rPr>
          <w:rFonts w:hint="eastAsia" w:ascii="Times New Roman" w:hAnsi="Times New Roman"/>
          <w:color w:val="000000" w:themeColor="text1"/>
          <w:szCs w:val="32"/>
          <w14:textFill>
            <w14:solidFill>
              <w14:schemeClr w14:val="tx1"/>
            </w14:solidFill>
          </w14:textFill>
        </w:rPr>
        <w:t>. 工程造价咨询企业营业收入及造价咨询业务收入评分表</w:t>
      </w:r>
    </w:p>
    <w:p>
      <w:pPr>
        <w:spacing w:line="578" w:lineRule="exact"/>
        <w:ind w:firstLine="1635" w:firstLineChars="500"/>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3</w:t>
      </w:r>
      <w:r>
        <w:rPr>
          <w:rFonts w:hint="eastAsia" w:ascii="Times New Roman" w:hAnsi="Times New Roman"/>
          <w:color w:val="000000" w:themeColor="text1"/>
          <w:szCs w:val="32"/>
          <w14:textFill>
            <w14:solidFill>
              <w14:schemeClr w14:val="tx1"/>
            </w14:solidFill>
          </w14:textFill>
        </w:rPr>
        <w:t>. 工程造价咨询企业良好行为加分表</w:t>
      </w:r>
    </w:p>
    <w:p>
      <w:pPr>
        <w:spacing w:line="578" w:lineRule="exact"/>
        <w:ind w:firstLine="1635" w:firstLineChars="500"/>
        <w:rPr>
          <w:rFonts w:ascii="Times New Roman" w:hAnsi="Times New Roman"/>
          <w:color w:val="000000" w:themeColor="text1"/>
          <w:szCs w:val="32"/>
          <w14:textFill>
            <w14:solidFill>
              <w14:schemeClr w14:val="tx1"/>
            </w14:solidFill>
          </w14:textFill>
        </w:rPr>
      </w:pPr>
      <w:r>
        <w:rPr>
          <w:rFonts w:ascii="Times New Roman" w:hAnsi="Times New Roman"/>
          <w:color w:val="000000" w:themeColor="text1"/>
          <w:szCs w:val="32"/>
          <w14:textFill>
            <w14:solidFill>
              <w14:schemeClr w14:val="tx1"/>
            </w14:solidFill>
          </w14:textFill>
        </w:rPr>
        <w:t>4</w:t>
      </w:r>
      <w:r>
        <w:rPr>
          <w:rFonts w:hint="eastAsia" w:ascii="Times New Roman" w:hAnsi="Times New Roman"/>
          <w:color w:val="000000" w:themeColor="text1"/>
          <w:szCs w:val="32"/>
          <w14:textFill>
            <w14:solidFill>
              <w14:schemeClr w14:val="tx1"/>
            </w14:solidFill>
          </w14:textFill>
        </w:rPr>
        <w:t>. 工程造价咨询企业不良行为扣分表</w:t>
      </w:r>
    </w:p>
    <w:p>
      <w:pPr>
        <w:ind w:firstLine="654"/>
        <w:rPr>
          <w:rFonts w:ascii="仿宋" w:hAnsi="仿宋"/>
          <w:color w:val="000000" w:themeColor="text1"/>
          <w:position w:val="-6"/>
          <w:szCs w:val="32"/>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2211" w:right="1701" w:bottom="1984" w:left="1701" w:header="0" w:footer="1417" w:gutter="0"/>
          <w:cols w:space="0" w:num="1"/>
          <w:docGrid w:type="linesAndChars" w:linePitch="579" w:charSpace="1449"/>
        </w:sectPr>
      </w:pPr>
    </w:p>
    <w:p>
      <w:pPr>
        <w:spacing w:line="578" w:lineRule="exact"/>
        <w:ind w:left="-981" w:leftChars="-300" w:firstLine="654"/>
        <w:rPr>
          <w:rFonts w:ascii="黑体" w:hAnsi="黑体" w:eastAsia="黑体" w:cs="黑体"/>
          <w:color w:val="000000" w:themeColor="text1"/>
          <w:position w:val="-6"/>
          <w:szCs w:val="32"/>
          <w14:textFill>
            <w14:solidFill>
              <w14:schemeClr w14:val="tx1"/>
            </w14:solidFill>
          </w14:textFill>
        </w:rPr>
      </w:pPr>
      <w:r>
        <w:rPr>
          <w:rFonts w:hint="eastAsia" w:ascii="黑体" w:hAnsi="黑体" w:eastAsia="黑体" w:cs="黑体"/>
          <w:color w:val="000000" w:themeColor="text1"/>
          <w:position w:val="-6"/>
          <w:szCs w:val="32"/>
          <w14:textFill>
            <w14:solidFill>
              <w14:schemeClr w14:val="tx1"/>
            </w14:solidFill>
          </w14:textFill>
        </w:rPr>
        <w:t>附件1：</w:t>
      </w:r>
    </w:p>
    <w:p>
      <w:pPr>
        <w:spacing w:after="303" w:afterLines="50" w:line="578" w:lineRule="exact"/>
        <w:ind w:firstLine="734"/>
        <w:jc w:val="center"/>
        <w:rPr>
          <w:rFonts w:ascii="方正小标宋简体" w:hAnsi="方正小标宋简体" w:eastAsia="方正小标宋简体" w:cs="方正小标宋简体"/>
          <w:color w:val="000000" w:themeColor="text1"/>
          <w:position w:val="-6"/>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position w:val="-6"/>
          <w:sz w:val="36"/>
          <w:szCs w:val="36"/>
          <w14:textFill>
            <w14:solidFill>
              <w14:schemeClr w14:val="tx1"/>
            </w14:solidFill>
          </w14:textFill>
        </w:rPr>
        <w:t>工程造价咨询企业信用评价标准</w:t>
      </w:r>
    </w:p>
    <w:tbl>
      <w:tblPr>
        <w:tblStyle w:val="9"/>
        <w:tblW w:w="15297" w:type="dxa"/>
        <w:jc w:val="center"/>
        <w:tblLayout w:type="fixed"/>
        <w:tblCellMar>
          <w:top w:w="0" w:type="dxa"/>
          <w:left w:w="0" w:type="dxa"/>
          <w:bottom w:w="0" w:type="dxa"/>
          <w:right w:w="0" w:type="dxa"/>
        </w:tblCellMar>
      </w:tblPr>
      <w:tblGrid>
        <w:gridCol w:w="975"/>
        <w:gridCol w:w="922"/>
        <w:gridCol w:w="1248"/>
        <w:gridCol w:w="3320"/>
        <w:gridCol w:w="1199"/>
        <w:gridCol w:w="597"/>
        <w:gridCol w:w="505"/>
        <w:gridCol w:w="597"/>
        <w:gridCol w:w="380"/>
        <w:gridCol w:w="3199"/>
        <w:gridCol w:w="2355"/>
      </w:tblGrid>
      <w:tr>
        <w:tblPrEx>
          <w:tblCellMar>
            <w:top w:w="0" w:type="dxa"/>
            <w:left w:w="0" w:type="dxa"/>
            <w:bottom w:w="0" w:type="dxa"/>
            <w:right w:w="0" w:type="dxa"/>
          </w:tblCellMar>
        </w:tblPrEx>
        <w:trPr>
          <w:trHeight w:val="454" w:hRule="atLeast"/>
          <w:tblHeader/>
          <w:jc w:val="center"/>
        </w:trPr>
        <w:tc>
          <w:tcPr>
            <w:tcW w:w="9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一级指标</w:t>
            </w:r>
          </w:p>
        </w:tc>
        <w:tc>
          <w:tcPr>
            <w:tcW w:w="92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spacing w:line="300" w:lineRule="exact"/>
              <w:ind w:left="3" w:leftChars="-3" w:right="9" w:rightChars="3" w:hanging="12" w:hangingChars="6"/>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二级指标</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三级指标</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评价标准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计算公式</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得分限额</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得分</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hanging="1" w:firstLineChars="0"/>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扣分限额</w:t>
            </w: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hanging="1" w:firstLineChars="0"/>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扣分</w:t>
            </w: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hanging="1" w:firstLineChars="0"/>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说明</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hanging="1" w:firstLineChars="0"/>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数据来源</w:t>
            </w: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1.基本   情况</w:t>
            </w:r>
          </w:p>
        </w:tc>
        <w:tc>
          <w:tcPr>
            <w:tcW w:w="922"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1.1</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人员结构</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1.1.1</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技术负责人</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具有一级注册造价工程师职业资格</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434"/>
              <w:jc w:val="both"/>
              <w:rPr>
                <w:rFonts w:ascii="Times New Roman" w:hAnsi="Times New Roman" w:eastAsia="仿宋_GB2312" w:cs="Times New Roman"/>
                <w:color w:val="000000" w:themeColor="text1"/>
                <w:sz w:val="21"/>
                <w:szCs w:val="21"/>
                <w14:textFill>
                  <w14:solidFill>
                    <w14:schemeClr w14:val="tx1"/>
                  </w14:solidFill>
                </w14:textFill>
              </w:rPr>
            </w:pP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全国工程造价咨询管理系统</w:t>
            </w: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具有一级造价工程师以外的与造价相关的其它职业资格或工程类、经济类高级职称</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与造价相关的其它职业资格是指咨询师、建造师、建筑师、监理工程师、规划师、勘察设计注册师(注册结构工程师、注册土木工程师、注册电气工程师等)、注册会计师、资产评估师、房地产估价师、职业律师等相关职业资格。</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w:t>
            </w: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全国工程造价咨询管理系统</w:t>
            </w:r>
            <w:r>
              <w:rPr>
                <w:rFonts w:ascii="Times New Roman" w:hAnsi="Times New Roman" w:eastAsia="仿宋_GB2312" w:cs="Times New Roman"/>
                <w:color w:val="000000" w:themeColor="text1"/>
                <w:kern w:val="0"/>
                <w:sz w:val="21"/>
                <w:szCs w:val="21"/>
                <w:lang w:bidi="ar"/>
                <w14:textFill>
                  <w14:solidFill>
                    <w14:schemeClr w14:val="tx1"/>
                  </w14:solidFill>
                </w14:textFill>
              </w:rPr>
              <w:t>。</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2.</w:t>
            </w: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全国工程造价咨询管理系统</w:t>
            </w:r>
            <w:r>
              <w:rPr>
                <w:rFonts w:ascii="Times New Roman" w:hAnsi="Times New Roman" w:eastAsia="仿宋_GB2312" w:cs="Times New Roman"/>
                <w:color w:val="000000" w:themeColor="text1"/>
                <w:kern w:val="0"/>
                <w:sz w:val="21"/>
                <w:szCs w:val="21"/>
                <w:lang w:bidi="ar"/>
                <w14:textFill>
                  <w14:solidFill>
                    <w14:schemeClr w14:val="tx1"/>
                  </w14:solidFill>
                </w14:textFill>
              </w:rPr>
              <w:t>没有的由企业自行申报。</w:t>
            </w: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1.1.2                    注册造价</w:t>
            </w:r>
          </w:p>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工程师</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每有1名一级注册造价工程师得0.8分</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每有1名二级注册造价工程师0.4分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1"/>
                <w:rFonts w:ascii="Times New Roman" w:hAnsi="Times New Roman" w:eastAsia="仿宋_GB2312" w:cs="Times New Roman"/>
                <w:color w:val="auto"/>
                <w:sz w:val="21"/>
                <w:szCs w:val="21"/>
                <w:lang w:bidi="ar"/>
              </w:rPr>
              <w:t>0.8*</w:t>
            </w:r>
            <w:r>
              <w:rPr>
                <w:rStyle w:val="21"/>
                <w:rFonts w:ascii="Times New Roman" w:hAnsi="Times New Roman" w:eastAsia="仿宋_GB2312" w:cs="Times New Roman"/>
                <w:color w:val="000000" w:themeColor="text1"/>
                <w:sz w:val="21"/>
                <w:szCs w:val="21"/>
                <w:lang w:bidi="ar"/>
                <w14:textFill>
                  <w14:solidFill>
                    <w14:schemeClr w14:val="tx1"/>
                  </w14:solidFill>
                </w14:textFill>
              </w:rPr>
              <w:t xml:space="preserve"> X</w:t>
            </w:r>
            <w:r>
              <w:rPr>
                <w:rStyle w:val="22"/>
                <w:rFonts w:ascii="Times New Roman" w:hAnsi="Times New Roman" w:eastAsia="仿宋_GB2312" w:cs="Times New Roman"/>
                <w:color w:val="000000" w:themeColor="text1"/>
                <w:sz w:val="21"/>
                <w:szCs w:val="21"/>
                <w:lang w:bidi="ar"/>
                <w14:textFill>
                  <w14:solidFill>
                    <w14:schemeClr w14:val="tx1"/>
                  </w14:solidFill>
                </w14:textFill>
              </w:rPr>
              <w:t>1</w:t>
            </w:r>
            <w:r>
              <w:rPr>
                <w:rStyle w:val="21"/>
                <w:rFonts w:hint="eastAsia" w:ascii="Times New Roman" w:hAnsi="Times New Roman" w:eastAsia="仿宋_GB2312" w:cs="Times New Roman"/>
                <w:color w:val="auto"/>
                <w:sz w:val="21"/>
                <w:szCs w:val="21"/>
                <w:lang w:bidi="ar"/>
              </w:rPr>
              <w:t>+</w:t>
            </w:r>
            <w:r>
              <w:rPr>
                <w:rStyle w:val="21"/>
                <w:rFonts w:ascii="Times New Roman" w:hAnsi="Times New Roman" w:eastAsia="仿宋_GB2312" w:cs="Times New Roman"/>
                <w:color w:val="auto"/>
                <w:sz w:val="21"/>
                <w:szCs w:val="21"/>
                <w:lang w:bidi="ar"/>
              </w:rPr>
              <w:t>0.4*</w:t>
            </w:r>
            <w:r>
              <w:rPr>
                <w:rStyle w:val="21"/>
                <w:rFonts w:ascii="Times New Roman" w:hAnsi="Times New Roman" w:eastAsia="仿宋_GB2312" w:cs="Times New Roman"/>
                <w:color w:val="000000" w:themeColor="text1"/>
                <w:sz w:val="21"/>
                <w:szCs w:val="21"/>
                <w:lang w:bidi="ar"/>
                <w14:textFill>
                  <w14:solidFill>
                    <w14:schemeClr w14:val="tx1"/>
                  </w14:solidFill>
                </w14:textFill>
              </w:rPr>
              <w:t xml:space="preserve"> X</w:t>
            </w:r>
            <w:r>
              <w:rPr>
                <w:rStyle w:val="22"/>
                <w:rFonts w:ascii="Times New Roman" w:hAnsi="Times New Roman" w:eastAsia="仿宋_GB2312" w:cs="Times New Roman"/>
                <w:color w:val="000000" w:themeColor="text1"/>
                <w:sz w:val="21"/>
                <w:szCs w:val="21"/>
                <w:lang w:bidi="ar"/>
                <w14:textFill>
                  <w14:solidFill>
                    <w14:schemeClr w14:val="tx1"/>
                  </w14:solidFill>
                </w14:textFill>
              </w:rPr>
              <w:t>2</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20</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“X</w:t>
            </w:r>
            <w:r>
              <w:rPr>
                <w:rStyle w:val="23"/>
                <w:rFonts w:hint="default" w:ascii="Times New Roman" w:hAnsi="Times New Roman" w:eastAsia="仿宋_GB2312" w:cs="Times New Roman"/>
                <w:color w:val="000000" w:themeColor="text1"/>
                <w:sz w:val="21"/>
                <w:szCs w:val="21"/>
                <w:lang w:bidi="ar"/>
                <w14:textFill>
                  <w14:solidFill>
                    <w14:schemeClr w14:val="tx1"/>
                  </w14:solidFill>
                </w14:textFill>
              </w:rPr>
              <w:t>1</w:t>
            </w: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”指注册在该企业的一级注册造价工程师的人数,“X</w:t>
            </w:r>
            <w:r>
              <w:rPr>
                <w:rStyle w:val="23"/>
                <w:rFonts w:hint="default" w:ascii="Times New Roman" w:hAnsi="Times New Roman" w:eastAsia="仿宋_GB2312" w:cs="Times New Roman"/>
                <w:color w:val="000000" w:themeColor="text1"/>
                <w:sz w:val="21"/>
                <w:szCs w:val="21"/>
                <w:lang w:bidi="ar"/>
                <w14:textFill>
                  <w14:solidFill>
                    <w14:schemeClr w14:val="tx1"/>
                  </w14:solidFill>
                </w14:textFill>
              </w:rPr>
              <w:t>2</w:t>
            </w: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”指注册在该企业的二级注册造价工程师的人数。</w:t>
            </w:r>
            <w:r>
              <w:rPr>
                <w:rFonts w:ascii="Times New Roman" w:hAnsi="Times New Roman" w:eastAsia="仿宋_GB2312" w:cs="Times New Roman"/>
                <w:color w:val="000000" w:themeColor="text1"/>
                <w:kern w:val="0"/>
                <w:sz w:val="21"/>
                <w:szCs w:val="21"/>
                <w:lang w:bidi="ar"/>
                <w14:textFill>
                  <w14:solidFill>
                    <w14:schemeClr w14:val="tx1"/>
                  </w14:solidFill>
                </w14:textFill>
              </w:rPr>
              <w:t>二级注册造价工程师</w:t>
            </w: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最多可</w:t>
            </w:r>
            <w:r>
              <w:rPr>
                <w:rFonts w:ascii="Times New Roman" w:hAnsi="Times New Roman" w:eastAsia="仿宋_GB2312" w:cs="Times New Roman"/>
                <w:color w:val="000000" w:themeColor="text1"/>
                <w:kern w:val="0"/>
                <w:sz w:val="21"/>
                <w:szCs w:val="21"/>
                <w:lang w:bidi="ar"/>
                <w14:textFill>
                  <w14:solidFill>
                    <w14:schemeClr w14:val="tx1"/>
                  </w14:solidFill>
                </w14:textFill>
              </w:rPr>
              <w:t>得</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8</w:t>
            </w: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分。</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eastAsia="zh-CN" w:bidi="ar"/>
                <w14:textFill>
                  <w14:solidFill>
                    <w14:schemeClr w14:val="tx1"/>
                  </w14:solidFill>
                </w14:textFill>
              </w:rPr>
              <w:t>全国工程造价咨询管理系统</w:t>
            </w:r>
            <w:r>
              <w:rPr>
                <w:rFonts w:ascii="Times New Roman" w:hAnsi="Times New Roman" w:eastAsia="仿宋_GB2312" w:cs="Times New Roman"/>
                <w:color w:val="000000" w:themeColor="text1"/>
                <w:kern w:val="0"/>
                <w:sz w:val="21"/>
                <w:szCs w:val="21"/>
                <w:lang w:bidi="ar"/>
                <w14:textFill>
                  <w14:solidFill>
                    <w14:schemeClr w14:val="tx1"/>
                  </w14:solidFill>
                </w14:textFill>
              </w:rPr>
              <w:t>中自动获取。</w:t>
            </w: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1.1.3</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职工</w:t>
            </w:r>
            <w:r>
              <w:rPr>
                <w:rFonts w:ascii="Times New Roman" w:hAnsi="Times New Roman" w:eastAsia="仿宋_GB2312" w:cs="Times New Roman"/>
                <w:color w:val="000000" w:themeColor="text1"/>
                <w:kern w:val="0"/>
                <w:sz w:val="21"/>
                <w:szCs w:val="21"/>
                <w:lang w:bidi="ar"/>
                <w14:textFill>
                  <w14:solidFill>
                    <w14:schemeClr w14:val="tx1"/>
                  </w14:solidFill>
                </w14:textFill>
              </w:rPr>
              <w:t>职称</w:t>
            </w:r>
          </w:p>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学历</w:t>
            </w:r>
            <w:r>
              <w:rPr>
                <w:rFonts w:ascii="Times New Roman" w:hAnsi="Times New Roman" w:eastAsia="仿宋_GB2312" w:cs="Times New Roman"/>
                <w:color w:val="000000" w:themeColor="text1"/>
                <w:kern w:val="0"/>
                <w:sz w:val="21"/>
                <w:szCs w:val="21"/>
                <w:lang w:bidi="ar"/>
                <w14:textFill>
                  <w14:solidFill>
                    <w14:schemeClr w14:val="tx1"/>
                  </w14:solidFill>
                </w14:textFill>
              </w:rPr>
              <w:t xml:space="preserve"> </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left"/>
              <w:textAlignment w:val="cente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每有1名高级（及以上）职称人员得0.</w:t>
            </w:r>
            <w:r>
              <w:rPr>
                <w:rStyle w:val="20"/>
                <w:rFonts w:hint="eastAsia" w:ascii="Times New Roman" w:hAnsi="Times New Roman" w:eastAsia="仿宋_GB2312" w:cs="Times New Roman"/>
                <w:color w:val="000000" w:themeColor="text1"/>
                <w:sz w:val="21"/>
                <w:szCs w:val="21"/>
                <w:lang w:val="en-US" w:eastAsia="zh-CN" w:bidi="ar"/>
                <w14:textFill>
                  <w14:solidFill>
                    <w14:schemeClr w14:val="tx1"/>
                  </w14:solidFill>
                </w14:textFill>
              </w:rPr>
              <w:t>5</w:t>
            </w: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分</w:t>
            </w:r>
          </w:p>
          <w:p>
            <w:pPr>
              <w:widowControl/>
              <w:spacing w:line="22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0"/>
                <w:rFonts w:hint="default" w:ascii="Times New Roman" w:hAnsi="Times New Roman" w:eastAsia="仿宋_GB2312" w:cs="Times New Roman"/>
                <w:color w:val="auto"/>
                <w:sz w:val="21"/>
                <w:szCs w:val="21"/>
                <w:lang w:bidi="ar"/>
              </w:rPr>
              <w:t>每有1名</w:t>
            </w:r>
            <w:r>
              <w:rPr>
                <w:rStyle w:val="20"/>
                <w:rFonts w:hint="eastAsia" w:ascii="Times New Roman" w:hAnsi="Times New Roman" w:eastAsia="仿宋_GB2312" w:cs="Times New Roman"/>
                <w:color w:val="auto"/>
                <w:sz w:val="21"/>
                <w:szCs w:val="21"/>
                <w:lang w:val="en-US" w:eastAsia="zh-CN" w:bidi="ar"/>
              </w:rPr>
              <w:t>硕士</w:t>
            </w:r>
            <w:r>
              <w:rPr>
                <w:rStyle w:val="20"/>
                <w:rFonts w:hint="default" w:ascii="Times New Roman" w:hAnsi="Times New Roman" w:eastAsia="仿宋_GB2312" w:cs="Times New Roman"/>
                <w:color w:val="auto"/>
                <w:sz w:val="21"/>
                <w:szCs w:val="21"/>
                <w:lang w:bidi="ar"/>
              </w:rPr>
              <w:t>研究生及以上学历人员得0.</w:t>
            </w:r>
            <w:r>
              <w:rPr>
                <w:rStyle w:val="20"/>
                <w:rFonts w:hint="eastAsia" w:ascii="Times New Roman" w:hAnsi="Times New Roman" w:eastAsia="仿宋_GB2312" w:cs="Times New Roman"/>
                <w:color w:val="auto"/>
                <w:sz w:val="21"/>
                <w:szCs w:val="21"/>
                <w:lang w:val="en-US" w:eastAsia="zh-CN" w:bidi="ar"/>
              </w:rPr>
              <w:t>5</w:t>
            </w:r>
            <w:r>
              <w:rPr>
                <w:rStyle w:val="20"/>
                <w:rFonts w:hint="default" w:ascii="Times New Roman" w:hAnsi="Times New Roman" w:eastAsia="仿宋_GB2312" w:cs="Times New Roman"/>
                <w:color w:val="auto"/>
                <w:sz w:val="21"/>
                <w:szCs w:val="21"/>
                <w:lang w:bidi="ar"/>
              </w:rPr>
              <w:t>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0.</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5</w:t>
            </w:r>
            <w:r>
              <w:rPr>
                <w:rFonts w:ascii="Times New Roman" w:hAnsi="Times New Roman" w:eastAsia="仿宋_GB2312" w:cs="Times New Roman"/>
                <w:color w:val="000000" w:themeColor="text1"/>
                <w:kern w:val="0"/>
                <w:sz w:val="21"/>
                <w:szCs w:val="21"/>
                <w:lang w:bidi="ar"/>
                <w14:textFill>
                  <w14:solidFill>
                    <w14:schemeClr w14:val="tx1"/>
                  </w14:solidFill>
                </w14:textFill>
              </w:rPr>
              <w:t>*</w:t>
            </w:r>
            <w:r>
              <w:rPr>
                <w:rStyle w:val="21"/>
                <w:rFonts w:ascii="Times New Roman" w:hAnsi="Times New Roman" w:eastAsia="仿宋_GB2312" w:cs="Times New Roman"/>
                <w:color w:val="000000" w:themeColor="text1"/>
                <w:sz w:val="21"/>
                <w:szCs w:val="21"/>
                <w:lang w:bidi="ar"/>
                <w14:textFill>
                  <w14:solidFill>
                    <w14:schemeClr w14:val="tx1"/>
                  </w14:solidFill>
                </w14:textFill>
              </w:rPr>
              <w:t xml:space="preserve"> X</w:t>
            </w:r>
            <w:r>
              <w:rPr>
                <w:rStyle w:val="22"/>
                <w:rFonts w:ascii="Times New Roman" w:hAnsi="Times New Roman" w:eastAsia="仿宋_GB2312" w:cs="Times New Roman"/>
                <w:color w:val="000000" w:themeColor="text1"/>
                <w:sz w:val="21"/>
                <w:szCs w:val="21"/>
                <w:lang w:bidi="ar"/>
                <w14:textFill>
                  <w14:solidFill>
                    <w14:schemeClr w14:val="tx1"/>
                  </w14:solidFill>
                </w14:textFill>
              </w:rPr>
              <w:t>1</w:t>
            </w: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w:t>
            </w:r>
            <w:r>
              <w:rPr>
                <w:rFonts w:ascii="Times New Roman" w:hAnsi="Times New Roman" w:eastAsia="仿宋_GB2312" w:cs="Times New Roman"/>
                <w:kern w:val="0"/>
                <w:sz w:val="21"/>
                <w:szCs w:val="21"/>
                <w:lang w:bidi="ar"/>
              </w:rPr>
              <w:t>0.</w:t>
            </w:r>
            <w:r>
              <w:rPr>
                <w:rFonts w:hint="eastAsia" w:ascii="Times New Roman" w:hAnsi="Times New Roman" w:eastAsia="仿宋_GB2312" w:cs="Times New Roman"/>
                <w:kern w:val="0"/>
                <w:sz w:val="21"/>
                <w:szCs w:val="21"/>
                <w:lang w:val="en-US" w:eastAsia="zh-CN" w:bidi="ar"/>
              </w:rPr>
              <w:t>5</w:t>
            </w:r>
            <w:r>
              <w:rPr>
                <w:rFonts w:ascii="Times New Roman" w:hAnsi="Times New Roman" w:eastAsia="仿宋_GB2312" w:cs="Times New Roman"/>
                <w:kern w:val="0"/>
                <w:sz w:val="21"/>
                <w:szCs w:val="21"/>
                <w:lang w:bidi="ar"/>
              </w:rPr>
              <w:t>*</w:t>
            </w:r>
            <w:r>
              <w:rPr>
                <w:rStyle w:val="21"/>
                <w:rFonts w:ascii="Times New Roman" w:hAnsi="Times New Roman" w:eastAsia="仿宋_GB2312" w:cs="Times New Roman"/>
                <w:color w:val="000000" w:themeColor="text1"/>
                <w:sz w:val="21"/>
                <w:szCs w:val="21"/>
                <w:lang w:bidi="ar"/>
                <w14:textFill>
                  <w14:solidFill>
                    <w14:schemeClr w14:val="tx1"/>
                  </w14:solidFill>
                </w14:textFill>
              </w:rPr>
              <w:t xml:space="preserve"> X</w:t>
            </w:r>
            <w:r>
              <w:rPr>
                <w:rStyle w:val="22"/>
                <w:rFonts w:ascii="Times New Roman" w:hAnsi="Times New Roman" w:eastAsia="仿宋_GB2312" w:cs="Times New Roman"/>
                <w:color w:val="000000" w:themeColor="text1"/>
                <w:sz w:val="21"/>
                <w:szCs w:val="21"/>
                <w:lang w:bidi="ar"/>
                <w14:textFill>
                  <w14:solidFill>
                    <w14:schemeClr w14:val="tx1"/>
                  </w14:solidFill>
                </w14:textFill>
              </w:rPr>
              <w:t>2</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3</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w:t>
            </w:r>
            <w:r>
              <w:rPr>
                <w:rStyle w:val="21"/>
                <w:rFonts w:ascii="Times New Roman" w:hAnsi="Times New Roman" w:eastAsia="仿宋_GB2312" w:cs="Times New Roman"/>
                <w:color w:val="000000" w:themeColor="text1"/>
                <w:sz w:val="21"/>
                <w:szCs w:val="21"/>
                <w:lang w:bidi="ar"/>
                <w14:textFill>
                  <w14:solidFill>
                    <w14:schemeClr w14:val="tx1"/>
                  </w14:solidFill>
                </w14:textFill>
              </w:rPr>
              <w:t>X</w:t>
            </w:r>
            <w:r>
              <w:rPr>
                <w:rStyle w:val="22"/>
                <w:rFonts w:ascii="Times New Roman" w:hAnsi="Times New Roman" w:eastAsia="仿宋_GB2312" w:cs="Times New Roman"/>
                <w:color w:val="000000" w:themeColor="text1"/>
                <w:sz w:val="21"/>
                <w:szCs w:val="21"/>
                <w:lang w:bidi="ar"/>
                <w14:textFill>
                  <w14:solidFill>
                    <w14:schemeClr w14:val="tx1"/>
                  </w14:solidFill>
                </w14:textFill>
              </w:rPr>
              <w:t>1</w:t>
            </w:r>
            <w:r>
              <w:rPr>
                <w:rFonts w:ascii="Times New Roman" w:hAnsi="Times New Roman" w:eastAsia="仿宋_GB2312" w:cs="Times New Roman"/>
                <w:color w:val="000000" w:themeColor="text1"/>
                <w:kern w:val="0"/>
                <w:sz w:val="21"/>
                <w:szCs w:val="21"/>
                <w:lang w:bidi="ar"/>
                <w14:textFill>
                  <w14:solidFill>
                    <w14:schemeClr w14:val="tx1"/>
                  </w14:solidFill>
                </w14:textFill>
              </w:rPr>
              <w:t>”为高级（及以上）职称的人员数量。</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高级职称指高级工程师、高级经济师、高级会计师等与造价相关的职称。</w:t>
            </w:r>
          </w:p>
          <w:p>
            <w:pPr>
              <w:widowControl/>
              <w:spacing w:line="220" w:lineRule="exact"/>
              <w:ind w:firstLine="0" w:firstLineChars="0"/>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kern w:val="0"/>
                <w:sz w:val="21"/>
                <w:szCs w:val="21"/>
                <w:lang w:bidi="ar"/>
              </w:rPr>
              <w:t>“</w:t>
            </w:r>
            <w:r>
              <w:rPr>
                <w:rStyle w:val="21"/>
                <w:rFonts w:ascii="Times New Roman" w:hAnsi="Times New Roman" w:eastAsia="仿宋_GB2312" w:cs="Times New Roman"/>
                <w:color w:val="000000" w:themeColor="text1"/>
                <w:sz w:val="21"/>
                <w:szCs w:val="21"/>
                <w:lang w:bidi="ar"/>
                <w14:textFill>
                  <w14:solidFill>
                    <w14:schemeClr w14:val="tx1"/>
                  </w14:solidFill>
                </w14:textFill>
              </w:rPr>
              <w:t>X</w:t>
            </w:r>
            <w:r>
              <w:rPr>
                <w:rStyle w:val="22"/>
                <w:rFonts w:ascii="Times New Roman" w:hAnsi="Times New Roman" w:eastAsia="仿宋_GB2312" w:cs="Times New Roman"/>
                <w:color w:val="000000" w:themeColor="text1"/>
                <w:sz w:val="21"/>
                <w:szCs w:val="21"/>
                <w:lang w:bidi="ar"/>
                <w14:textFill>
                  <w14:solidFill>
                    <w14:schemeClr w14:val="tx1"/>
                  </w14:solidFill>
                </w14:textFill>
              </w:rPr>
              <w:t>2</w:t>
            </w:r>
            <w:r>
              <w:rPr>
                <w:rFonts w:ascii="Times New Roman" w:hAnsi="Times New Roman" w:eastAsia="仿宋_GB2312" w:cs="Times New Roman"/>
                <w:kern w:val="0"/>
                <w:sz w:val="21"/>
                <w:szCs w:val="21"/>
                <w:lang w:bidi="ar"/>
              </w:rPr>
              <w:t>”为</w:t>
            </w:r>
            <w:r>
              <w:rPr>
                <w:rFonts w:hint="eastAsia" w:ascii="Times New Roman" w:hAnsi="Times New Roman" w:eastAsia="仿宋_GB2312" w:cs="Times New Roman"/>
                <w:kern w:val="0"/>
                <w:sz w:val="21"/>
                <w:szCs w:val="21"/>
                <w:lang w:val="en-US" w:eastAsia="zh-CN" w:bidi="ar"/>
              </w:rPr>
              <w:t>硕士</w:t>
            </w:r>
            <w:r>
              <w:rPr>
                <w:rStyle w:val="20"/>
                <w:rFonts w:hint="default" w:ascii="Times New Roman" w:hAnsi="Times New Roman" w:eastAsia="仿宋_GB2312" w:cs="Times New Roman"/>
                <w:color w:val="auto"/>
                <w:sz w:val="21"/>
                <w:szCs w:val="21"/>
                <w:lang w:bidi="ar"/>
              </w:rPr>
              <w:t>研究生及以上学历</w:t>
            </w:r>
            <w:r>
              <w:rPr>
                <w:rFonts w:ascii="Times New Roman" w:hAnsi="Times New Roman" w:eastAsia="仿宋_GB2312" w:cs="Times New Roman"/>
                <w:kern w:val="0"/>
                <w:sz w:val="21"/>
                <w:szCs w:val="21"/>
                <w:lang w:bidi="ar"/>
              </w:rPr>
              <w:t>的人员数量。</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从</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统计调查系统</w:t>
            </w:r>
            <w:r>
              <w:rPr>
                <w:rFonts w:hint="eastAsia" w:ascii="Times New Roman" w:hAnsi="Times New Roman" w:eastAsia="仿宋_GB2312" w:cs="Times New Roman"/>
                <w:color w:val="000000" w:themeColor="text1"/>
                <w:kern w:val="0"/>
                <w:sz w:val="21"/>
                <w:szCs w:val="21"/>
                <w:lang w:eastAsia="zh-CN" w:bidi="ar"/>
                <w14:textFill>
                  <w14:solidFill>
                    <w14:schemeClr w14:val="tx1"/>
                  </w14:solidFill>
                </w14:textFill>
              </w:rPr>
              <w:t>系统</w:t>
            </w:r>
            <w:r>
              <w:rPr>
                <w:rFonts w:ascii="Times New Roman" w:hAnsi="Times New Roman" w:eastAsia="仿宋_GB2312" w:cs="Times New Roman"/>
                <w:color w:val="000000" w:themeColor="text1"/>
                <w:kern w:val="0"/>
                <w:sz w:val="21"/>
                <w:szCs w:val="21"/>
                <w:lang w:bidi="ar"/>
                <w14:textFill>
                  <w14:solidFill>
                    <w14:schemeClr w14:val="tx1"/>
                  </w14:solidFill>
                </w14:textFill>
              </w:rPr>
              <w:t>中自动导入，如导入数据与实际不符，由企业自行申报。</w:t>
            </w: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1.2</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各类组织</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1.2.1</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党组织</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党组织健全或党建活动正常</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未建立党组织的，上一年度正常开展或参加党建活动的也可得分。</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434"/>
              <w:jc w:val="both"/>
              <w:rPr>
                <w:rFonts w:ascii="Times New Roman" w:hAnsi="Times New Roman" w:eastAsia="仿宋_GB2312" w:cs="Times New Roman"/>
                <w:color w:val="000000" w:themeColor="text1"/>
                <w:sz w:val="21"/>
                <w:szCs w:val="21"/>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1.2.2</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其它组织</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有工会或妇联等组织，活动正常</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未建立工会或妇联等组织的，上一年度正常开展相关活动的也可得分。</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434"/>
              <w:jc w:val="both"/>
              <w:rPr>
                <w:rFonts w:ascii="Times New Roman" w:hAnsi="Times New Roman" w:eastAsia="仿宋_GB2312" w:cs="Times New Roman"/>
                <w:color w:val="000000" w:themeColor="text1"/>
                <w:sz w:val="21"/>
                <w:szCs w:val="21"/>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2.经营    管理</w:t>
            </w:r>
          </w:p>
          <w:p>
            <w:pPr>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2.1                     经营能力</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2.1.1                       营业收入</w:t>
            </w:r>
          </w:p>
        </w:tc>
        <w:tc>
          <w:tcPr>
            <w:tcW w:w="332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left"/>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按地区排名评分，详见附件2</w:t>
            </w:r>
          </w:p>
          <w:p>
            <w:pPr>
              <w:widowControl/>
              <w:spacing w:line="26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《工程造价咨询企业营业收入及造价咨询业务收入评分表》</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0~6</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6</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1、营业收入=工程造价咨询业务收入+其它业务收入；</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2、其它业务收入=招标代理业务收入+项目管理业务收入+工程咨询业务收入；</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3、均采用上年度的年收入。</w:t>
            </w:r>
          </w:p>
        </w:tc>
        <w:tc>
          <w:tcPr>
            <w:tcW w:w="235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20" w:lineRule="exact"/>
              <w:ind w:firstLine="0" w:firstLineChars="0"/>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根据国家“工程造价咨询统计调查制度”由信用评价系统从“工程造价咨询统计调查系统”导入企业上年度相关数据。</w:t>
            </w: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2.1.2</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工程造价咨询业务收入</w:t>
            </w:r>
          </w:p>
        </w:tc>
        <w:tc>
          <w:tcPr>
            <w:tcW w:w="332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left"/>
              <w:rPr>
                <w:rFonts w:ascii="Times New Roman" w:hAnsi="Times New Roman" w:eastAsia="仿宋_GB2312" w:cs="Times New Roman"/>
                <w:color w:val="000000" w:themeColor="text1"/>
                <w:sz w:val="21"/>
                <w:szCs w:val="21"/>
                <w14:textFill>
                  <w14:solidFill>
                    <w14:schemeClr w14:val="tx1"/>
                  </w14:solidFill>
                </w14:textFill>
              </w:rPr>
            </w:pP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0~12</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12</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434"/>
              <w:jc w:val="both"/>
              <w:rPr>
                <w:rFonts w:ascii="Times New Roman" w:hAnsi="Times New Roman" w:eastAsia="仿宋_GB2312" w:cs="Times New Roman"/>
                <w:color w:val="000000" w:themeColor="text1"/>
                <w:sz w:val="21"/>
                <w:szCs w:val="21"/>
                <w14:textFill>
                  <w14:solidFill>
                    <w14:schemeClr w14:val="tx1"/>
                  </w14:solidFill>
                </w14:textFill>
              </w:rPr>
            </w:pPr>
          </w:p>
        </w:tc>
        <w:tc>
          <w:tcPr>
            <w:tcW w:w="235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firstLine="434"/>
              <w:jc w:val="both"/>
              <w:rPr>
                <w:rFonts w:ascii="Times New Roman" w:hAnsi="Times New Roman" w:eastAsia="仿宋_GB2312" w:cs="Times New Roman"/>
                <w:color w:val="000000" w:themeColor="text1"/>
                <w:sz w:val="21"/>
                <w:szCs w:val="21"/>
                <w14:textFill>
                  <w14:solidFill>
                    <w14:schemeClr w14:val="tx1"/>
                  </w14:solidFill>
                </w14:textFill>
              </w:rPr>
            </w:pPr>
          </w:p>
        </w:tc>
      </w:tr>
      <w:tr>
        <w:tblPrEx>
          <w:tblCellMar>
            <w:top w:w="0" w:type="dxa"/>
            <w:left w:w="0" w:type="dxa"/>
            <w:bottom w:w="0" w:type="dxa"/>
            <w:right w:w="0" w:type="dxa"/>
          </w:tblCellMar>
        </w:tblPrEx>
        <w:trPr>
          <w:wBefore w:w="0" w:type="auto"/>
          <w:trHeight w:val="1426"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2.1.3                          全员劳动生产率</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企业全员劳动生产率每5万元得0.5分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0.5*X/5</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4</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1、“X”指企业全员劳动生产率；</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2、全员劳动生产率=上年营业收入合计/企业员工总人数。</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根据国家“工程造价咨询统计调查制度”由信用评价系统从“工程造价咨询统计调查系统”导入企业上年度相关数据自动计算。</w:t>
            </w: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hint="eastAsia"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val="en-US" w:eastAsia="zh-CN" w:bidi="ar"/>
              </w:rPr>
              <w:t>2.1.4</w:t>
            </w:r>
          </w:p>
          <w:p>
            <w:pPr>
              <w:widowControl/>
              <w:spacing w:line="240" w:lineRule="exact"/>
              <w:ind w:left="3" w:leftChars="-3" w:hanging="12" w:hangingChars="6"/>
              <w:jc w:val="center"/>
              <w:textAlignment w:val="center"/>
              <w:rPr>
                <w:rFonts w:hint="default" w:ascii="Times New Roman" w:hAnsi="Times New Roman" w:eastAsia="仿宋_GB2312"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仿宋_GB2312" w:cs="Times New Roman"/>
                <w:kern w:val="0"/>
                <w:sz w:val="21"/>
                <w:szCs w:val="21"/>
                <w:lang w:bidi="ar"/>
              </w:rPr>
              <w:t>业务开拓和创新</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left"/>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kern w:val="0"/>
                <w:sz w:val="21"/>
                <w:szCs w:val="21"/>
                <w:lang w:bidi="ar"/>
              </w:rPr>
              <w:t>企业承揽境外项目、创新业务，</w:t>
            </w:r>
            <w:r>
              <w:rPr>
                <w:rFonts w:ascii="Times New Roman" w:hAnsi="Times New Roman" w:eastAsia="仿宋_GB2312" w:cs="Times New Roman"/>
                <w:kern w:val="0"/>
                <w:sz w:val="21"/>
                <w:szCs w:val="21"/>
                <w:lang w:bidi="ar"/>
              </w:rPr>
              <w:t>每个项目得</w:t>
            </w:r>
            <w:r>
              <w:rPr>
                <w:rFonts w:hint="eastAsia" w:ascii="Times New Roman" w:hAnsi="Times New Roman" w:eastAsia="仿宋_GB2312" w:cs="Times New Roman"/>
                <w:kern w:val="0"/>
                <w:sz w:val="21"/>
                <w:szCs w:val="21"/>
                <w:lang w:val="en-US" w:eastAsia="zh-CN" w:bidi="ar"/>
              </w:rPr>
              <w:t>1</w:t>
            </w:r>
            <w:r>
              <w:rPr>
                <w:rFonts w:ascii="Times New Roman" w:hAnsi="Times New Roman" w:eastAsia="仿宋_GB2312" w:cs="Times New Roman"/>
                <w:kern w:val="0"/>
                <w:sz w:val="21"/>
                <w:szCs w:val="21"/>
                <w:lang w:bidi="ar"/>
              </w:rPr>
              <w:t>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hint="eastAsia" w:ascii="Times New Roman" w:hAnsi="Times New Roman" w:eastAsia="仿宋_GB2312" w:cs="Times New Roman"/>
                <w:color w:val="000000" w:themeColor="text1"/>
                <w:kern w:val="0"/>
                <w:sz w:val="21"/>
                <w:szCs w:val="21"/>
                <w:lang w:eastAsia="zh-CN" w:bidi="ar"/>
                <w14:textFill>
                  <w14:solidFill>
                    <w14:schemeClr w14:val="tx1"/>
                  </w14:solidFill>
                </w14:textFill>
              </w:rPr>
            </w:pPr>
            <w:r>
              <w:rPr>
                <w:rFonts w:hint="eastAsia" w:ascii="Times New Roman" w:hAnsi="Times New Roman" w:eastAsia="仿宋_GB2312" w:cs="Times New Roman"/>
                <w:kern w:val="0"/>
                <w:sz w:val="21"/>
                <w:szCs w:val="21"/>
                <w:lang w:bidi="ar"/>
              </w:rPr>
              <w:t>0~</w:t>
            </w:r>
            <w:r>
              <w:rPr>
                <w:rFonts w:hint="eastAsia" w:ascii="Times New Roman" w:hAnsi="Times New Roman" w:eastAsia="仿宋_GB2312" w:cs="Times New Roman"/>
                <w:kern w:val="0"/>
                <w:sz w:val="21"/>
                <w:szCs w:val="21"/>
                <w:lang w:val="en-US" w:eastAsia="zh-CN" w:bidi="ar"/>
              </w:rPr>
              <w:t>4</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4</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hint="eastAsia"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企业承揽境外项目，咨询费达到100万元及以上每个项目得</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1</w:t>
            </w: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分。</w:t>
            </w:r>
          </w:p>
          <w:p>
            <w:pPr>
              <w:widowControl/>
              <w:spacing w:line="220" w:lineRule="exact"/>
              <w:ind w:firstLine="0" w:firstLineChars="0"/>
              <w:jc w:val="both"/>
              <w:textAlignment w:val="center"/>
              <w:rPr>
                <w:rFonts w:hint="eastAsia"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企业创新拓展：业务范围涉及BIM咨询、PPP咨询、全过程咨询。</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2.2                    管理能力</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3" w:leftChars="-3"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2.2.1                       质量管理</w:t>
            </w:r>
          </w:p>
          <w:p>
            <w:pPr>
              <w:widowControl/>
              <w:spacing w:line="26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体系</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企业有职业标准指南或自行编制的咨询业务操作指导规程、范本(模板)或作业指导书，得</w:t>
            </w:r>
            <w:r>
              <w:rPr>
                <w:rStyle w:val="20"/>
                <w:rFonts w:hint="eastAsia" w:ascii="Times New Roman" w:hAnsi="Times New Roman" w:eastAsia="仿宋_GB2312" w:cs="Times New Roman"/>
                <w:color w:val="000000" w:themeColor="text1"/>
                <w:sz w:val="21"/>
                <w:szCs w:val="21"/>
                <w:lang w:val="en-US" w:eastAsia="zh-CN" w:bidi="ar"/>
                <w14:textFill>
                  <w14:solidFill>
                    <w14:schemeClr w14:val="tx1"/>
                  </w14:solidFill>
                </w14:textFill>
              </w:rPr>
              <w:t>1</w:t>
            </w:r>
            <w:r>
              <w:rPr>
                <w:rStyle w:val="24"/>
                <w:rFonts w:ascii="Times New Roman" w:hAnsi="Times New Roman" w:eastAsia="仿宋_GB2312" w:cs="Times New Roman"/>
                <w:color w:val="000000" w:themeColor="text1"/>
                <w:sz w:val="21"/>
                <w:szCs w:val="21"/>
                <w:lang w:bidi="ar"/>
                <w14:textFill>
                  <w14:solidFill>
                    <w14:schemeClr w14:val="tx1"/>
                  </w14:solidFill>
                </w14:textFill>
              </w:rPr>
              <w:t>~</w:t>
            </w:r>
            <w:r>
              <w:rPr>
                <w:rStyle w:val="24"/>
                <w:rFonts w:hint="eastAsia" w:ascii="Times New Roman" w:hAnsi="Times New Roman" w:eastAsia="仿宋_GB2312" w:cs="Times New Roman"/>
                <w:color w:val="000000" w:themeColor="text1"/>
                <w:sz w:val="21"/>
                <w:szCs w:val="21"/>
                <w:lang w:val="en-US" w:eastAsia="zh-CN" w:bidi="ar"/>
                <w14:textFill>
                  <w14:solidFill>
                    <w14:schemeClr w14:val="tx1"/>
                  </w14:solidFill>
                </w14:textFill>
              </w:rPr>
              <w:t>2</w:t>
            </w: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0~2</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0" w:firstLineChars="0"/>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w:t>
            </w: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根据职业标准或指南内容完整、规范、指导作用的程度，加</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1</w:t>
            </w:r>
            <w:r>
              <w:rPr>
                <w:rFonts w:ascii="Times New Roman" w:hAnsi="Times New Roman" w:eastAsia="仿宋_GB2312" w:cs="Times New Roman"/>
                <w:color w:val="000000" w:themeColor="text1"/>
                <w:kern w:val="0"/>
                <w:sz w:val="21"/>
                <w:szCs w:val="21"/>
                <w:lang w:bidi="ar"/>
                <w14:textFill>
                  <w14:solidFill>
                    <w14:schemeClr w14:val="tx1"/>
                  </w14:solidFill>
                </w14:textFill>
              </w:rPr>
              <w:t>~</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w:t>
            </w:r>
            <w:r>
              <w:rPr>
                <w:rFonts w:ascii="Times New Roman" w:hAnsi="Times New Roman" w:eastAsia="仿宋_GB2312" w:cs="Times New Roman"/>
                <w:color w:val="000000" w:themeColor="text1"/>
                <w:kern w:val="0"/>
                <w:sz w:val="21"/>
                <w:szCs w:val="21"/>
                <w:lang w:bidi="ar"/>
                <w14:textFill>
                  <w14:solidFill>
                    <w14:schemeClr w14:val="tx1"/>
                  </w14:solidFill>
                </w14:textFill>
              </w:rPr>
              <w:t>分，没有的扣</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w:t>
            </w:r>
            <w:r>
              <w:rPr>
                <w:rFonts w:ascii="Times New Roman" w:hAnsi="Times New Roman" w:eastAsia="仿宋_GB2312" w:cs="Times New Roman"/>
                <w:color w:val="000000" w:themeColor="text1"/>
                <w:kern w:val="0"/>
                <w:sz w:val="21"/>
                <w:szCs w:val="21"/>
                <w:lang w:bidi="ar"/>
                <w14:textFill>
                  <w14:solidFill>
                    <w14:schemeClr w14:val="tx1"/>
                  </w14:solidFill>
                </w14:textFill>
              </w:rPr>
              <w:t>分。</w:t>
            </w:r>
          </w:p>
        </w:tc>
        <w:tc>
          <w:tcPr>
            <w:tcW w:w="235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企业有完善的质量管理制度和可行的质量奖惩办法，得0.5</w:t>
            </w:r>
            <w:r>
              <w:rPr>
                <w:rStyle w:val="24"/>
                <w:rFonts w:ascii="Times New Roman" w:hAnsi="Times New Roman" w:eastAsia="仿宋_GB2312" w:cs="Times New Roman"/>
                <w:color w:val="000000" w:themeColor="text1"/>
                <w:sz w:val="21"/>
                <w:szCs w:val="21"/>
                <w:lang w:bidi="ar"/>
                <w14:textFill>
                  <w14:solidFill>
                    <w14:schemeClr w14:val="tx1"/>
                  </w14:solidFill>
                </w14:textFill>
              </w:rPr>
              <w:t>~</w:t>
            </w:r>
            <w:r>
              <w:rPr>
                <w:rStyle w:val="24"/>
                <w:rFonts w:hint="eastAsia" w:ascii="Times New Roman" w:hAnsi="Times New Roman" w:eastAsia="仿宋_GB2312" w:cs="Times New Roman"/>
                <w:color w:val="000000" w:themeColor="text1"/>
                <w:sz w:val="21"/>
                <w:szCs w:val="21"/>
                <w:lang w:val="en-US" w:eastAsia="zh-CN" w:bidi="ar"/>
                <w14:textFill>
                  <w14:solidFill>
                    <w14:schemeClr w14:val="tx1"/>
                  </w14:solidFill>
                </w14:textFill>
              </w:rPr>
              <w:t>2</w:t>
            </w: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分</w:t>
            </w: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br w:type="textWrapping"/>
            </w: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通过ISO质量管理体系认证，得</w:t>
            </w:r>
            <w:r>
              <w:rPr>
                <w:rStyle w:val="20"/>
                <w:rFonts w:hint="eastAsia" w:ascii="Times New Roman" w:hAnsi="Times New Roman" w:eastAsia="仿宋_GB2312" w:cs="Times New Roman"/>
                <w:color w:val="000000" w:themeColor="text1"/>
                <w:sz w:val="21"/>
                <w:szCs w:val="21"/>
                <w:lang w:val="en-US" w:eastAsia="zh-CN" w:bidi="ar"/>
                <w14:textFill>
                  <w14:solidFill>
                    <w14:schemeClr w14:val="tx1"/>
                  </w14:solidFill>
                </w14:textFill>
              </w:rPr>
              <w:t>1</w:t>
            </w: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0~</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3</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3</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0" w:firstLineChars="0"/>
              <w:jc w:val="center"/>
              <w:textAlignment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w:t>
            </w: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1、根据质量管理制度和奖惩办法完整、规范、操作性程度，加0.5~</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w:t>
            </w:r>
            <w:r>
              <w:rPr>
                <w:rFonts w:ascii="Times New Roman" w:hAnsi="Times New Roman" w:eastAsia="仿宋_GB2312" w:cs="Times New Roman"/>
                <w:color w:val="000000" w:themeColor="text1"/>
                <w:kern w:val="0"/>
                <w:sz w:val="21"/>
                <w:szCs w:val="21"/>
                <w:lang w:bidi="ar"/>
                <w14:textFill>
                  <w14:solidFill>
                    <w14:schemeClr w14:val="tx1"/>
                  </w14:solidFill>
                </w14:textFill>
              </w:rPr>
              <w:t>分，没有的扣</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1</w:t>
            </w:r>
            <w:r>
              <w:rPr>
                <w:rFonts w:ascii="Times New Roman" w:hAnsi="Times New Roman" w:eastAsia="仿宋_GB2312" w:cs="Times New Roman"/>
                <w:color w:val="000000" w:themeColor="text1"/>
                <w:kern w:val="0"/>
                <w:sz w:val="21"/>
                <w:szCs w:val="21"/>
                <w:lang w:bidi="ar"/>
                <w14:textFill>
                  <w14:solidFill>
                    <w14:schemeClr w14:val="tx1"/>
                  </w14:solidFill>
                </w14:textFill>
              </w:rPr>
              <w:t>分。</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2、质量管理认证证书应在有效期内。</w:t>
            </w:r>
          </w:p>
        </w:tc>
        <w:tc>
          <w:tcPr>
            <w:tcW w:w="235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655"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2.2.2                         造价咨询业务成果文件档案管理</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left"/>
              <w:textAlignment w:val="center"/>
              <w:rPr>
                <w:rFonts w:ascii="Times New Roman" w:hAnsi="Times New Roman" w:eastAsia="仿宋_GB2312" w:cs="Times New Roman"/>
                <w:kern w:val="0"/>
                <w:sz w:val="21"/>
                <w:szCs w:val="21"/>
                <w:lang w:bidi="ar"/>
              </w:rPr>
            </w:pPr>
            <w:r>
              <w:rPr>
                <w:rFonts w:ascii="Times New Roman" w:hAnsi="Times New Roman" w:eastAsia="仿宋_GB2312" w:cs="Times New Roman"/>
                <w:kern w:val="0"/>
                <w:sz w:val="21"/>
                <w:szCs w:val="21"/>
                <w:lang w:bidi="ar"/>
              </w:rPr>
              <w:t>有专用档案室</w:t>
            </w:r>
            <w:r>
              <w:rPr>
                <w:rFonts w:hint="eastAsia" w:ascii="Times New Roman" w:hAnsi="Times New Roman" w:eastAsia="仿宋_GB2312" w:cs="Times New Roman"/>
                <w:kern w:val="0"/>
                <w:sz w:val="21"/>
                <w:szCs w:val="21"/>
                <w:lang w:bidi="ar"/>
              </w:rPr>
              <w:t>，</w:t>
            </w:r>
            <w:r>
              <w:rPr>
                <w:rFonts w:ascii="Times New Roman" w:hAnsi="Times New Roman" w:eastAsia="仿宋_GB2312" w:cs="Times New Roman"/>
                <w:kern w:val="0"/>
                <w:sz w:val="21"/>
                <w:szCs w:val="21"/>
                <w:lang w:bidi="ar"/>
              </w:rPr>
              <w:t>得</w:t>
            </w:r>
            <w:r>
              <w:rPr>
                <w:rFonts w:hint="eastAsia" w:ascii="Times New Roman" w:hAnsi="Times New Roman" w:eastAsia="仿宋_GB2312" w:cs="Times New Roman"/>
                <w:kern w:val="0"/>
                <w:sz w:val="21"/>
                <w:szCs w:val="21"/>
                <w:lang w:val="en-US" w:eastAsia="zh-CN" w:bidi="ar"/>
              </w:rPr>
              <w:t>1</w:t>
            </w:r>
            <w:r>
              <w:rPr>
                <w:rFonts w:ascii="Times New Roman" w:hAnsi="Times New Roman" w:eastAsia="仿宋_GB2312" w:cs="Times New Roman"/>
                <w:kern w:val="0"/>
                <w:sz w:val="21"/>
                <w:szCs w:val="21"/>
                <w:lang w:bidi="ar"/>
              </w:rPr>
              <w:t>分</w:t>
            </w:r>
          </w:p>
          <w:p>
            <w:pPr>
              <w:widowControl/>
              <w:spacing w:line="26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kern w:val="0"/>
                <w:sz w:val="21"/>
                <w:szCs w:val="21"/>
                <w:lang w:bidi="ar"/>
              </w:rPr>
              <w:t>有</w:t>
            </w:r>
            <w:r>
              <w:rPr>
                <w:rFonts w:ascii="Times New Roman" w:hAnsi="Times New Roman" w:eastAsia="仿宋_GB2312" w:cs="Times New Roman"/>
                <w:kern w:val="0"/>
                <w:sz w:val="21"/>
                <w:szCs w:val="21"/>
                <w:lang w:bidi="ar"/>
              </w:rPr>
              <w:t>专职档案管理员，得</w:t>
            </w:r>
            <w:r>
              <w:rPr>
                <w:rFonts w:hint="eastAsia" w:ascii="Times New Roman" w:hAnsi="Times New Roman" w:eastAsia="仿宋_GB2312" w:cs="Times New Roman"/>
                <w:kern w:val="0"/>
                <w:sz w:val="21"/>
                <w:szCs w:val="21"/>
                <w:lang w:val="en-US" w:eastAsia="zh-CN" w:bidi="ar"/>
              </w:rPr>
              <w:t>1</w:t>
            </w:r>
            <w:r>
              <w:rPr>
                <w:rFonts w:ascii="Times New Roman" w:hAnsi="Times New Roman" w:eastAsia="仿宋_GB2312" w:cs="Times New Roman"/>
                <w:kern w:val="0"/>
                <w:sz w:val="21"/>
                <w:szCs w:val="21"/>
                <w:lang w:bidi="ar"/>
              </w:rPr>
              <w:t>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sz w:val="21"/>
                <w:szCs w:val="21"/>
              </w:rPr>
              <w:t>0~</w:t>
            </w:r>
            <w:r>
              <w:rPr>
                <w:rFonts w:hint="eastAsia" w:ascii="Times New Roman" w:hAnsi="Times New Roman" w:eastAsia="仿宋_GB2312" w:cs="Times New Roman"/>
                <w:sz w:val="21"/>
                <w:szCs w:val="21"/>
                <w:lang w:val="en-US" w:eastAsia="zh-CN"/>
              </w:rPr>
              <w:t>2</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kern w:val="0"/>
                <w:sz w:val="21"/>
                <w:szCs w:val="21"/>
                <w:lang w:val="en-US" w:eastAsia="zh-CN" w:bidi="ar"/>
              </w:rPr>
              <w:t>2</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专用档案室照片、专职档案员聘任合同或聘任协议。</w:t>
            </w:r>
          </w:p>
        </w:tc>
        <w:tc>
          <w:tcPr>
            <w:tcW w:w="235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trHeight w:val="1125"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档案室中至少保存前五年完整的档案，得</w:t>
            </w:r>
            <w:r>
              <w:rPr>
                <w:rStyle w:val="20"/>
                <w:rFonts w:hint="eastAsia" w:ascii="Times New Roman" w:hAnsi="Times New Roman" w:eastAsia="仿宋_GB2312" w:cs="Times New Roman"/>
                <w:color w:val="000000" w:themeColor="text1"/>
                <w:sz w:val="21"/>
                <w:szCs w:val="21"/>
                <w:lang w:val="en-US" w:eastAsia="zh-CN" w:bidi="ar"/>
                <w14:textFill>
                  <w14:solidFill>
                    <w14:schemeClr w14:val="tx1"/>
                  </w14:solidFill>
                </w14:textFill>
              </w:rPr>
              <w:t>2</w:t>
            </w: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rPr>
                <w:rFonts w:hint="eastAsia"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eastAsia="仿宋_GB2312" w:cs="Times New Roman"/>
                <w:color w:val="000000" w:themeColor="text1"/>
                <w:sz w:val="21"/>
                <w:szCs w:val="21"/>
                <w:lang w:val="en-US" w:eastAsia="zh-CN"/>
                <w14:textFill>
                  <w14:solidFill>
                    <w14:schemeClr w14:val="tx1"/>
                  </w14:solidFill>
                </w14:textFill>
              </w:rPr>
              <w:t>2</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0" w:firstLineChars="0"/>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w:t>
            </w: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1、</w:t>
            </w:r>
            <w:r>
              <w:rPr>
                <w:rFonts w:ascii="Times New Roman" w:hAnsi="Times New Roman" w:eastAsia="仿宋_GB2312" w:cs="Times New Roman"/>
                <w:color w:val="000000" w:themeColor="text1"/>
                <w:kern w:val="0"/>
                <w:sz w:val="21"/>
                <w:szCs w:val="21"/>
                <w:lang w:bidi="ar"/>
                <w14:textFill>
                  <w14:solidFill>
                    <w14:schemeClr w14:val="tx1"/>
                  </w14:solidFill>
                </w14:textFill>
              </w:rPr>
              <w:t>咨询项目登记表、档案台账和档案三者比对。</w:t>
            </w:r>
          </w:p>
          <w:p>
            <w:pPr>
              <w:widowControl/>
              <w:spacing w:line="220" w:lineRule="exact"/>
              <w:ind w:firstLine="0" w:firstLineChars="0"/>
              <w:jc w:val="both"/>
              <w:textAlignment w:val="center"/>
              <w:rPr>
                <w:rFonts w:hint="default" w:ascii="Times New Roman" w:hAnsi="Times New Roman" w:eastAsia="仿宋_GB2312"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w:t>
            </w:r>
            <w:r>
              <w:rPr>
                <w:rFonts w:ascii="Times New Roman" w:hAnsi="Times New Roman" w:eastAsia="仿宋_GB2312" w:cs="Times New Roman"/>
                <w:color w:val="000000" w:themeColor="text1"/>
                <w:kern w:val="0"/>
                <w:sz w:val="21"/>
                <w:szCs w:val="21"/>
                <w:lang w:bidi="ar"/>
                <w14:textFill>
                  <w14:solidFill>
                    <w14:schemeClr w14:val="tx1"/>
                  </w14:solidFill>
                </w14:textFill>
              </w:rPr>
              <w:t>无档案台账扣</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w:t>
            </w:r>
            <w:r>
              <w:rPr>
                <w:rFonts w:ascii="Times New Roman" w:hAnsi="Times New Roman" w:eastAsia="仿宋_GB2312" w:cs="Times New Roman"/>
                <w:color w:val="000000" w:themeColor="text1"/>
                <w:kern w:val="0"/>
                <w:sz w:val="21"/>
                <w:szCs w:val="21"/>
                <w:lang w:bidi="ar"/>
                <w14:textFill>
                  <w14:solidFill>
                    <w14:schemeClr w14:val="tx1"/>
                  </w14:solidFill>
                </w14:textFill>
              </w:rPr>
              <w:t>分，台账不完整，扣</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1</w:t>
            </w:r>
            <w:r>
              <w:rPr>
                <w:rFonts w:ascii="Times New Roman" w:hAnsi="Times New Roman" w:eastAsia="仿宋_GB2312" w:cs="Times New Roman"/>
                <w:color w:val="000000" w:themeColor="text1"/>
                <w:kern w:val="0"/>
                <w:sz w:val="21"/>
                <w:szCs w:val="21"/>
                <w:lang w:bidi="ar"/>
                <w14:textFill>
                  <w14:solidFill>
                    <w14:schemeClr w14:val="tx1"/>
                  </w14:solidFill>
                </w14:textFill>
              </w:rPr>
              <w:t>分</w:t>
            </w:r>
            <w:r>
              <w:rPr>
                <w:rFonts w:hint="eastAsia" w:ascii="Times New Roman" w:hAnsi="Times New Roman" w:eastAsia="仿宋_GB2312" w:cs="Times New Roman"/>
                <w:color w:val="000000" w:themeColor="text1"/>
                <w:kern w:val="0"/>
                <w:sz w:val="21"/>
                <w:szCs w:val="21"/>
                <w:lang w:eastAsia="zh-CN" w:bidi="ar"/>
                <w14:textFill>
                  <w14:solidFill>
                    <w14:schemeClr w14:val="tx1"/>
                  </w14:solidFill>
                </w14:textFill>
              </w:rPr>
              <w:t>。</w:t>
            </w:r>
          </w:p>
        </w:tc>
        <w:tc>
          <w:tcPr>
            <w:tcW w:w="235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2.3</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 xml:space="preserve">教育培训                       </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2.3.1                            业务培训</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企业员工参加业务培训的，每次得0.3分（不含注册造价工程师资格延续需要的继续教育）</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0.3*X</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3</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1、“X”为企业造价咨询从业人员上一年度参加工程造价相关业务培训的次数；</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2、可以是外部机构组织的，也可以是企业自行组织的培训。</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trHeight w:val="704"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2.3.2</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 xml:space="preserve">廉洁教育 </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对员工进行廉洁教育或组织参观廉政教育基地</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企业上一年度对员工进行廉洁教育或组织参观廉政教育基地</w:t>
            </w: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680"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2.4</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信息化</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2.4.1                  对外平台</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企业自建网站或公众号</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网站及公众号应正常更新。</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454"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2.4.2                 办公自动化及企业业务管理系统</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both"/>
              <w:textAlignment w:val="center"/>
              <w:rPr>
                <w:rFonts w:ascii="Times New Roman" w:hAnsi="Times New Roman" w:eastAsia="仿宋_GB2312" w:cs="Times New Roman"/>
                <w:color w:val="000000" w:themeColor="text1"/>
                <w:sz w:val="21"/>
                <w:szCs w:val="21"/>
                <w14:textFill>
                  <w14:solidFill>
                    <w14:schemeClr w14:val="tx1"/>
                  </w14:solidFill>
                </w14:textFill>
              </w:rPr>
            </w:pP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t>企业投用办公自动化系统，运行正常，得1分</w:t>
            </w:r>
            <w:r>
              <w:rPr>
                <w:rStyle w:val="20"/>
                <w:rFonts w:hint="default" w:ascii="Times New Roman" w:hAnsi="Times New Roman" w:eastAsia="仿宋_GB2312" w:cs="Times New Roman"/>
                <w:color w:val="000000" w:themeColor="text1"/>
                <w:sz w:val="21"/>
                <w:szCs w:val="21"/>
                <w:lang w:bidi="ar"/>
                <w14:textFill>
                  <w14:solidFill>
                    <w14:schemeClr w14:val="tx1"/>
                  </w14:solidFill>
                </w14:textFill>
              </w:rPr>
              <w:br w:type="textWrapping"/>
            </w:r>
            <w:r>
              <w:rPr>
                <w:rStyle w:val="11"/>
                <w:rFonts w:hint="default" w:ascii="Times New Roman" w:hAnsi="Times New Roman" w:eastAsia="仿宋_GB2312" w:cs="Times New Roman"/>
                <w:color w:val="000000" w:themeColor="text1"/>
                <w:kern w:val="0"/>
                <w:sz w:val="21"/>
                <w:szCs w:val="21"/>
                <w:lang w:bidi="ar"/>
                <w14:textFill>
                  <w14:solidFill>
                    <w14:schemeClr w14:val="tx1"/>
                  </w14:solidFill>
                </w14:textFill>
              </w:rPr>
              <w:t>具有咨询业务管理系统并使用</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正常，</w:t>
            </w:r>
            <w:r>
              <w:rPr>
                <w:rStyle w:val="11"/>
                <w:rFonts w:hint="default" w:ascii="Times New Roman" w:hAnsi="Times New Roman" w:eastAsia="仿宋_GB2312" w:cs="Times New Roman"/>
                <w:color w:val="000000" w:themeColor="text1"/>
                <w:kern w:val="0"/>
                <w:sz w:val="21"/>
                <w:szCs w:val="21"/>
                <w:lang w:bidi="ar"/>
                <w14:textFill>
                  <w14:solidFill>
                    <w14:schemeClr w14:val="tx1"/>
                  </w14:solidFill>
                </w14:textFill>
              </w:rPr>
              <w:t>得1分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0~2</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1、业务系统能实现基本业务流程、成果文件系统的集成的，得1分；</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2、能够满足客户管理、合同管理、业务流程管理、档案管理、绩效统计、成本管控等多种业务流的集成，得1分。</w:t>
            </w:r>
          </w:p>
        </w:tc>
        <w:tc>
          <w:tcPr>
            <w:tcW w:w="235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1170"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2.4.3                 已完工程</w:t>
            </w:r>
          </w:p>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数据库</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企业已完工程数据库(指标库、材料价格库等)建立完善并投入应用，每项得1</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.5</w:t>
            </w:r>
            <w:r>
              <w:rPr>
                <w:rFonts w:ascii="Times New Roman" w:hAnsi="Times New Roman" w:eastAsia="仿宋_GB2312" w:cs="Times New Roman"/>
                <w:color w:val="000000" w:themeColor="text1"/>
                <w:kern w:val="0"/>
                <w:sz w:val="21"/>
                <w:szCs w:val="21"/>
                <w:lang w:bidi="ar"/>
                <w14:textFill>
                  <w14:solidFill>
                    <w14:schemeClr w14:val="tx1"/>
                  </w14:solidFill>
                </w14:textFill>
              </w:rPr>
              <w:t>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.5</w:t>
            </w:r>
            <w:r>
              <w:rPr>
                <w:rFonts w:ascii="Times New Roman" w:hAnsi="Times New Roman" w:eastAsia="仿宋_GB2312" w:cs="Times New Roman"/>
                <w:color w:val="000000" w:themeColor="text1"/>
                <w:kern w:val="0"/>
                <w:sz w:val="21"/>
                <w:szCs w:val="21"/>
                <w:lang w:bidi="ar"/>
                <w14:textFill>
                  <w14:solidFill>
                    <w14:schemeClr w14:val="tx1"/>
                  </w14:solidFill>
                </w14:textFill>
              </w:rPr>
              <w:t>*X</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3</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1、“X”指指标库或材料价格库等数据库；</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2、已完项目已录入数据库系统中或有已完项目的数据统计指标。</w:t>
            </w:r>
          </w:p>
        </w:tc>
        <w:tc>
          <w:tcPr>
            <w:tcW w:w="235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1809"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kern w:val="0"/>
                <w:sz w:val="21"/>
                <w:szCs w:val="21"/>
                <w:lang w:bidi="ar"/>
              </w:rPr>
            </w:pPr>
            <w:r>
              <w:rPr>
                <w:rFonts w:ascii="Times New Roman" w:hAnsi="Times New Roman" w:eastAsia="仿宋_GB2312" w:cs="Times New Roman"/>
                <w:kern w:val="0"/>
                <w:sz w:val="21"/>
                <w:szCs w:val="21"/>
                <w:lang w:bidi="ar"/>
              </w:rPr>
              <w:t>2.4.</w:t>
            </w:r>
            <w:r>
              <w:rPr>
                <w:rFonts w:hint="eastAsia" w:ascii="Times New Roman" w:hAnsi="Times New Roman" w:eastAsia="仿宋_GB2312" w:cs="Times New Roman"/>
                <w:kern w:val="0"/>
                <w:sz w:val="21"/>
                <w:szCs w:val="21"/>
                <w:lang w:bidi="ar"/>
              </w:rPr>
              <w:t>4</w:t>
            </w:r>
          </w:p>
          <w:p>
            <w:pPr>
              <w:widowControl/>
              <w:spacing w:line="240" w:lineRule="exact"/>
              <w:ind w:left="3" w:leftChars="-3" w:hanging="12" w:hangingChars="6"/>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加入</w:t>
            </w:r>
          </w:p>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kern w:val="0"/>
                <w:sz w:val="21"/>
                <w:szCs w:val="21"/>
                <w:lang w:bidi="ar"/>
              </w:rPr>
              <w:t>“中国造价”</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left"/>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kern w:val="0"/>
                <w:sz w:val="21"/>
                <w:szCs w:val="21"/>
                <w:lang w:bidi="ar"/>
              </w:rPr>
              <w:t>企业加入“中国造价”</w:t>
            </w:r>
            <w:r>
              <w:rPr>
                <w:rFonts w:hint="eastAsia" w:ascii="Times New Roman" w:hAnsi="Times New Roman" w:eastAsia="仿宋_GB2312" w:cs="Times New Roman"/>
                <w:kern w:val="0"/>
                <w:sz w:val="21"/>
                <w:szCs w:val="21"/>
                <w:lang w:val="en-US" w:eastAsia="zh-CN" w:bidi="ar"/>
              </w:rPr>
              <w:t>企业微信</w:t>
            </w:r>
            <w:r>
              <w:rPr>
                <w:rFonts w:hint="eastAsia" w:ascii="Times New Roman" w:hAnsi="Times New Roman" w:eastAsia="仿宋_GB2312" w:cs="Times New Roman"/>
                <w:kern w:val="0"/>
                <w:sz w:val="21"/>
                <w:szCs w:val="21"/>
                <w:lang w:bidi="ar"/>
              </w:rPr>
              <w:t>平台</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kern w:val="0"/>
                <w:sz w:val="21"/>
                <w:szCs w:val="21"/>
                <w:lang w:bidi="ar"/>
              </w:rPr>
              <w:t>2</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kern w:val="0"/>
                <w:sz w:val="21"/>
                <w:szCs w:val="21"/>
                <w:lang w:bidi="ar"/>
              </w:rPr>
              <w:t>2</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hint="eastAsia" w:ascii="Times New Roman" w:hAnsi="Times New Roman" w:eastAsia="仿宋_GB2312" w:cs="Times New Roman"/>
                <w:color w:val="000000" w:themeColor="text1"/>
                <w:kern w:val="0"/>
                <w:sz w:val="21"/>
                <w:szCs w:val="21"/>
                <w:lang w:eastAsia="zh-CN"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bidi="ar"/>
                <w14:textFill>
                  <w14:solidFill>
                    <w14:schemeClr w14:val="tx1"/>
                  </w14:solidFill>
                </w14:textFill>
              </w:rPr>
              <w:t>企业是否注册并关联全国工程造价大数据服务平台</w:t>
            </w:r>
            <w:r>
              <w:rPr>
                <w:rFonts w:hint="eastAsia" w:ascii="Times New Roman" w:hAnsi="Times New Roman" w:eastAsia="仿宋_GB2312" w:cs="Times New Roman"/>
                <w:color w:val="000000" w:themeColor="text1"/>
                <w:kern w:val="0"/>
                <w:sz w:val="21"/>
                <w:szCs w:val="21"/>
                <w:lang w:eastAsia="zh-CN" w:bidi="ar"/>
                <w14:textFill>
                  <w14:solidFill>
                    <w14:schemeClr w14:val="tx1"/>
                  </w14:solidFill>
                </w14:textFill>
              </w:rPr>
              <w:t>。</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hint="default" w:ascii="Times New Roman" w:hAnsi="Times New Roman" w:eastAsia="仿宋_GB2312"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注：</w:t>
            </w:r>
            <w:r>
              <w:rPr>
                <w:rFonts w:hint="eastAsia" w:ascii="Times New Roman" w:hAnsi="Times New Roman" w:eastAsia="仿宋_GB2312" w:cs="Times New Roman"/>
                <w:kern w:val="0"/>
                <w:sz w:val="21"/>
                <w:szCs w:val="21"/>
                <w:lang w:bidi="ar"/>
              </w:rPr>
              <w:t>“中国造价”</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是由中国建设工程造价管理协会联合腾讯共同打造的数字化产业互联网平台。将于近期上线。</w:t>
            </w:r>
          </w:p>
        </w:tc>
      </w:tr>
      <w:tr>
        <w:tblPrEx>
          <w:tblCellMar>
            <w:top w:w="0" w:type="dxa"/>
            <w:left w:w="0" w:type="dxa"/>
            <w:bottom w:w="0" w:type="dxa"/>
            <w:right w:w="0" w:type="dxa"/>
          </w:tblCellMar>
        </w:tblPrEx>
        <w:trPr>
          <w:trHeight w:val="1165"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2.5</w:t>
            </w:r>
          </w:p>
          <w:p>
            <w:pPr>
              <w:widowControl/>
              <w:spacing w:line="300" w:lineRule="exact"/>
              <w:ind w:left="3" w:leftChars="-3" w:hanging="12" w:hangingChars="6"/>
              <w:jc w:val="center"/>
              <w:textAlignment w:val="center"/>
              <w:rPr>
                <w:rFonts w:hint="default" w:ascii="Times New Roman" w:hAnsi="Times New Roman" w:eastAsia="仿宋_GB2312"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成果质量</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hint="default"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val="en-US" w:eastAsia="zh-CN" w:bidi="ar"/>
              </w:rPr>
              <w:t>2.5.1</w:t>
            </w:r>
          </w:p>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kern w:val="0"/>
                <w:sz w:val="21"/>
                <w:szCs w:val="21"/>
                <w:lang w:bidi="ar"/>
              </w:rPr>
              <w:t>造价咨询业务流程管理</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60" w:lineRule="exact"/>
              <w:ind w:left="3" w:leftChars="-3" w:hanging="12" w:hangingChars="6"/>
              <w:jc w:val="left"/>
              <w:textAlignment w:val="center"/>
              <w:rPr>
                <w:rFonts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有完整的项目咨询方案或计划书，得</w:t>
            </w:r>
            <w:r>
              <w:rPr>
                <w:rFonts w:hint="eastAsia" w:ascii="Times New Roman" w:hAnsi="Times New Roman" w:eastAsia="仿宋_GB2312" w:cs="Times New Roman"/>
                <w:kern w:val="0"/>
                <w:sz w:val="21"/>
                <w:szCs w:val="21"/>
                <w:lang w:val="en-US" w:eastAsia="zh-CN" w:bidi="ar"/>
              </w:rPr>
              <w:t>2</w:t>
            </w:r>
            <w:r>
              <w:rPr>
                <w:rFonts w:hint="eastAsia" w:ascii="Times New Roman" w:hAnsi="Times New Roman" w:eastAsia="仿宋_GB2312" w:cs="Times New Roman"/>
                <w:kern w:val="0"/>
                <w:sz w:val="21"/>
                <w:szCs w:val="21"/>
                <w:lang w:bidi="ar"/>
              </w:rPr>
              <w:t>分</w:t>
            </w:r>
          </w:p>
          <w:p>
            <w:pPr>
              <w:widowControl/>
              <w:spacing w:line="240" w:lineRule="exact"/>
              <w:ind w:left="12" w:leftChars="0" w:hanging="12" w:hangingChars="6"/>
              <w:jc w:val="left"/>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Style w:val="20"/>
                <w:rFonts w:hint="default" w:ascii="Times New Roman" w:hAnsi="Times New Roman" w:eastAsia="仿宋_GB2312" w:cs="Times New Roman"/>
                <w:color w:val="auto"/>
                <w:sz w:val="21"/>
                <w:szCs w:val="21"/>
                <w:lang w:bidi="ar"/>
              </w:rPr>
              <w:t>有复核流程单且保存完整、内容详实，得</w:t>
            </w:r>
            <w:r>
              <w:rPr>
                <w:rStyle w:val="20"/>
                <w:rFonts w:hint="eastAsia" w:ascii="Times New Roman" w:hAnsi="Times New Roman" w:eastAsia="仿宋_GB2312" w:cs="Times New Roman"/>
                <w:color w:val="auto"/>
                <w:sz w:val="21"/>
                <w:szCs w:val="21"/>
                <w:lang w:val="en-US" w:eastAsia="zh-CN" w:bidi="ar"/>
              </w:rPr>
              <w:t>2</w:t>
            </w:r>
            <w:r>
              <w:rPr>
                <w:rStyle w:val="20"/>
                <w:rFonts w:hint="default" w:ascii="Times New Roman" w:hAnsi="Times New Roman" w:eastAsia="仿宋_GB2312" w:cs="Times New Roman"/>
                <w:color w:val="auto"/>
                <w:sz w:val="21"/>
                <w:szCs w:val="21"/>
                <w:lang w:bidi="ar"/>
              </w:rPr>
              <w:t>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sz w:val="21"/>
                <w:szCs w:val="21"/>
              </w:rPr>
              <w:t>0~</w:t>
            </w:r>
            <w:r>
              <w:rPr>
                <w:rFonts w:hint="eastAsia" w:ascii="Times New Roman" w:hAnsi="Times New Roman" w:eastAsia="仿宋_GB2312" w:cs="Times New Roman"/>
                <w:sz w:val="21"/>
                <w:szCs w:val="21"/>
                <w:lang w:val="en-US" w:eastAsia="zh-CN"/>
              </w:rPr>
              <w:t>4</w:t>
            </w:r>
          </w:p>
        </w:tc>
        <w:tc>
          <w:tcPr>
            <w:tcW w:w="597"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hint="default" w:ascii="Times New Roman" w:hAnsi="Times New Roman" w:eastAsia="仿宋_GB2312"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10</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sz w:val="21"/>
                <w:szCs w:val="21"/>
              </w:rPr>
              <w:t>抽取评价期上一年度</w:t>
            </w:r>
            <w:r>
              <w:rPr>
                <w:rFonts w:ascii="Times New Roman" w:hAnsi="Times New Roman" w:eastAsia="仿宋_GB2312" w:cs="Times New Roman"/>
                <w:sz w:val="21"/>
                <w:szCs w:val="21"/>
              </w:rPr>
              <w:t>3个政府投资项目，原则上项目规模1000万元以上，项目类型包括土建、安装、装饰、市政等至少两种，咨询类型包括结算审核、工程量清单及招标控制价编制等。</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trHeight w:val="846"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hint="default" w:ascii="Times New Roman" w:hAnsi="Times New Roman" w:eastAsia="仿宋_GB2312" w:cs="Times New Roman"/>
                <w:color w:val="000000" w:themeColor="text1"/>
                <w:kern w:val="0"/>
                <w:sz w:val="21"/>
                <w:szCs w:val="21"/>
                <w:lang w:val="en-US" w:eastAsia="zh-CN" w:bidi="ar"/>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2.5.2</w:t>
            </w:r>
          </w:p>
          <w:p>
            <w:pPr>
              <w:widowControl/>
              <w:spacing w:line="240" w:lineRule="exact"/>
              <w:ind w:left="3" w:leftChars="-3" w:hanging="12" w:hangingChars="6"/>
              <w:jc w:val="center"/>
              <w:textAlignment w:val="center"/>
              <w:rPr>
                <w:rFonts w:hint="default" w:ascii="Times New Roman" w:hAnsi="Times New Roman" w:eastAsia="仿宋_GB2312" w:cs="Times New Roman"/>
                <w:color w:val="000000" w:themeColor="text1"/>
                <w:kern w:val="0"/>
                <w:sz w:val="21"/>
                <w:szCs w:val="21"/>
                <w:lang w:val="en-US" w:eastAsia="zh-CN" w:bidi="ar"/>
                <w14:textFill>
                  <w14:solidFill>
                    <w14:schemeClr w14:val="tx1"/>
                  </w14:solidFill>
                </w14:textFill>
              </w:rPr>
            </w:pPr>
            <w:r>
              <w:rPr>
                <w:rFonts w:ascii="Times New Roman" w:hAnsi="Times New Roman" w:eastAsia="仿宋_GB2312" w:cs="Times New Roman"/>
                <w:kern w:val="0"/>
                <w:sz w:val="21"/>
                <w:szCs w:val="21"/>
                <w:lang w:bidi="ar"/>
              </w:rPr>
              <w:t>造价咨询业务成果质量情况</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left"/>
              <w:textAlignment w:val="center"/>
              <w:rPr>
                <w:rFonts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造价咨询成果文件内容准确，得</w:t>
            </w:r>
            <w:r>
              <w:rPr>
                <w:rFonts w:hint="eastAsia" w:ascii="Times New Roman" w:hAnsi="Times New Roman" w:eastAsia="仿宋_GB2312" w:cs="Times New Roman"/>
                <w:kern w:val="0"/>
                <w:sz w:val="21"/>
                <w:szCs w:val="21"/>
                <w:lang w:val="en-US" w:eastAsia="zh-CN" w:bidi="ar"/>
              </w:rPr>
              <w:t>2</w:t>
            </w:r>
            <w:r>
              <w:rPr>
                <w:rFonts w:hint="eastAsia" w:ascii="Times New Roman" w:hAnsi="Times New Roman" w:eastAsia="仿宋_GB2312" w:cs="Times New Roman"/>
                <w:kern w:val="0"/>
                <w:sz w:val="21"/>
                <w:szCs w:val="21"/>
                <w:lang w:bidi="ar"/>
              </w:rPr>
              <w:t>分</w:t>
            </w:r>
          </w:p>
          <w:p>
            <w:pPr>
              <w:widowControl/>
              <w:spacing w:line="240" w:lineRule="exact"/>
              <w:ind w:left="3" w:leftChars="-3" w:hanging="12" w:hangingChars="6"/>
              <w:jc w:val="left"/>
              <w:textAlignment w:val="center"/>
              <w:rPr>
                <w:rFonts w:ascii="Times New Roman" w:hAnsi="Times New Roman" w:eastAsia="仿宋_GB2312" w:cs="Times New Roman"/>
                <w:color w:val="auto"/>
                <w:kern w:val="2"/>
                <w:sz w:val="21"/>
                <w:szCs w:val="21"/>
                <w:lang w:val="en-US" w:eastAsia="zh-CN" w:bidi="ar"/>
              </w:rPr>
            </w:pPr>
            <w:r>
              <w:rPr>
                <w:rStyle w:val="20"/>
                <w:rFonts w:hint="default" w:ascii="Times New Roman" w:hAnsi="Times New Roman" w:eastAsia="仿宋_GB2312" w:cs="Times New Roman"/>
                <w:color w:val="auto"/>
                <w:sz w:val="21"/>
                <w:szCs w:val="21"/>
                <w:lang w:bidi="ar"/>
              </w:rPr>
              <w:t>报告书内容完整、规范，得</w:t>
            </w:r>
            <w:r>
              <w:rPr>
                <w:rStyle w:val="20"/>
                <w:rFonts w:hint="eastAsia" w:ascii="Times New Roman" w:hAnsi="Times New Roman" w:eastAsia="仿宋_GB2312" w:cs="Times New Roman"/>
                <w:color w:val="auto"/>
                <w:sz w:val="21"/>
                <w:szCs w:val="21"/>
                <w:lang w:val="en-US" w:eastAsia="zh-CN" w:bidi="ar"/>
              </w:rPr>
              <w:t>2</w:t>
            </w:r>
            <w:r>
              <w:rPr>
                <w:rStyle w:val="20"/>
                <w:rFonts w:hint="default" w:ascii="Times New Roman" w:hAnsi="Times New Roman" w:eastAsia="仿宋_GB2312" w:cs="Times New Roman"/>
                <w:color w:val="auto"/>
                <w:sz w:val="21"/>
                <w:szCs w:val="21"/>
                <w:lang w:bidi="ar"/>
              </w:rPr>
              <w:t>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hint="eastAsia" w:ascii="Times New Roman" w:hAnsi="Times New Roman" w:eastAsia="仿宋_GB2312"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仿宋_GB2312" w:cs="Times New Roman"/>
                <w:kern w:val="0"/>
                <w:sz w:val="21"/>
                <w:szCs w:val="21"/>
                <w:lang w:bidi="ar"/>
              </w:rPr>
              <w:t>0~</w:t>
            </w:r>
            <w:r>
              <w:rPr>
                <w:rFonts w:hint="eastAsia" w:ascii="Times New Roman" w:hAnsi="Times New Roman" w:eastAsia="仿宋_GB2312" w:cs="Times New Roman"/>
                <w:kern w:val="0"/>
                <w:sz w:val="21"/>
                <w:szCs w:val="21"/>
                <w:lang w:val="en-US" w:eastAsia="zh-CN" w:bidi="ar"/>
              </w:rPr>
              <w:t>4</w:t>
            </w:r>
          </w:p>
        </w:tc>
        <w:tc>
          <w:tcPr>
            <w:tcW w:w="597"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sz w:val="21"/>
                <w:szCs w:val="21"/>
              </w:rPr>
              <w:t>同上</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trHeight w:val="697"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2.6</w:t>
            </w:r>
          </w:p>
          <w:p>
            <w:pPr>
              <w:widowControl/>
              <w:spacing w:line="240" w:lineRule="exact"/>
              <w:ind w:left="3" w:leftChars="-3" w:hanging="12" w:hangingChars="6"/>
              <w:jc w:val="center"/>
              <w:rPr>
                <w:rFonts w:hint="default" w:ascii="Times New Roman" w:hAnsi="Times New Roman" w:eastAsia="仿宋_GB2312"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1"/>
                <w:szCs w:val="21"/>
                <w:lang w:val="en-US" w:eastAsia="zh-CN"/>
                <w14:textFill>
                  <w14:solidFill>
                    <w14:schemeClr w14:val="tx1"/>
                  </w14:solidFill>
                </w14:textFill>
              </w:rPr>
              <w:t>社会评价</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hint="eastAsia"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val="en-US" w:eastAsia="zh-CN" w:bidi="ar"/>
              </w:rPr>
              <w:t>2.6.1</w:t>
            </w:r>
          </w:p>
          <w:p>
            <w:pPr>
              <w:widowControl/>
              <w:spacing w:line="240" w:lineRule="exact"/>
              <w:ind w:left="3" w:leftChars="-3" w:hanging="12" w:hangingChars="6"/>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客户</w:t>
            </w:r>
          </w:p>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仿宋_GB2312" w:cs="Times New Roman"/>
                <w:kern w:val="0"/>
                <w:sz w:val="21"/>
                <w:szCs w:val="21"/>
                <w:lang w:bidi="ar"/>
              </w:rPr>
              <w:t>社会评价</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left"/>
              <w:textAlignment w:val="center"/>
              <w:rPr>
                <w:rFonts w:ascii="Times New Roman" w:hAnsi="Times New Roman" w:eastAsia="仿宋_GB2312"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仿宋_GB2312" w:cs="Times New Roman"/>
                <w:kern w:val="0"/>
                <w:sz w:val="21"/>
                <w:szCs w:val="21"/>
                <w:lang w:bidi="ar"/>
              </w:rPr>
              <w:t>造价咨询项目业主对企业专业水平、成果质量、履约情况、收费合理性/满意的，得2分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kern w:val="2"/>
                <w:sz w:val="21"/>
                <w:szCs w:val="21"/>
                <w:lang w:val="en-US" w:eastAsia="zh-CN" w:bidi="ar-SA"/>
                <w14:textFill>
                  <w14:solidFill>
                    <w14:schemeClr w14:val="tx1"/>
                  </w14:solidFill>
                </w14:textFill>
              </w:rPr>
            </w:pPr>
            <w:r>
              <w:rPr>
                <w:rFonts w:ascii="Times New Roman" w:hAnsi="Times New Roman" w:eastAsia="仿宋_GB2312" w:cs="Times New Roman"/>
                <w:kern w:val="0"/>
                <w:sz w:val="21"/>
                <w:szCs w:val="21"/>
                <w:lang w:bidi="ar"/>
              </w:rPr>
              <w:t>2</w:t>
            </w:r>
          </w:p>
        </w:tc>
        <w:tc>
          <w:tcPr>
            <w:tcW w:w="597"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hint="eastAsia" w:ascii="Times New Roman" w:hAnsi="Times New Roman" w:eastAsia="仿宋_GB2312" w:cs="Times New Roman"/>
                <w:sz w:val="21"/>
                <w:szCs w:val="21"/>
              </w:rPr>
              <w:t>抽取两个1</w:t>
            </w:r>
            <w:r>
              <w:rPr>
                <w:rFonts w:ascii="Times New Roman" w:hAnsi="Times New Roman" w:eastAsia="仿宋_GB2312" w:cs="Times New Roman"/>
                <w:sz w:val="21"/>
                <w:szCs w:val="21"/>
              </w:rPr>
              <w:t>000</w:t>
            </w:r>
            <w:r>
              <w:rPr>
                <w:rFonts w:hint="eastAsia" w:ascii="Times New Roman" w:hAnsi="Times New Roman" w:eastAsia="仿宋_GB2312" w:cs="Times New Roman"/>
                <w:sz w:val="21"/>
                <w:szCs w:val="21"/>
              </w:rPr>
              <w:t>万元以上项目（尽量满足一个国有资金投资项目，一个结算审核项目）进行客户评价调查</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442" w:hRule="atLeast"/>
          <w:jc w:val="center"/>
        </w:trPr>
        <w:tc>
          <w:tcPr>
            <w:tcW w:w="975"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7</w:t>
            </w:r>
            <w:r>
              <w:rPr>
                <w:rFonts w:ascii="Times New Roman" w:hAnsi="Times New Roman" w:eastAsia="仿宋_GB2312" w:cs="Times New Roman"/>
                <w:color w:val="000000" w:themeColor="text1"/>
                <w:kern w:val="0"/>
                <w:sz w:val="21"/>
                <w:szCs w:val="21"/>
                <w:lang w:bidi="ar"/>
                <w14:textFill>
                  <w14:solidFill>
                    <w14:schemeClr w14:val="tx1"/>
                  </w14:solidFill>
                </w14:textFill>
              </w:rPr>
              <w:t xml:space="preserve">                   文化建设与</w:t>
            </w:r>
          </w:p>
          <w:p>
            <w:pPr>
              <w:widowControl/>
              <w:spacing w:line="30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社会责任</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7</w:t>
            </w:r>
            <w:r>
              <w:rPr>
                <w:rFonts w:ascii="Times New Roman" w:hAnsi="Times New Roman" w:eastAsia="仿宋_GB2312" w:cs="Times New Roman"/>
                <w:color w:val="000000" w:themeColor="text1"/>
                <w:kern w:val="0"/>
                <w:sz w:val="21"/>
                <w:szCs w:val="21"/>
                <w:lang w:bidi="ar"/>
                <w14:textFill>
                  <w14:solidFill>
                    <w14:schemeClr w14:val="tx1"/>
                  </w14:solidFill>
                </w14:textFill>
              </w:rPr>
              <w:t>.1</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文化建设</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企业积极举办或参与造价协会举办的精神文明、文化建设等活动，每次得0.4分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0.4*X</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“X”为举办或参加活动的次数。</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trHeight w:val="554" w:hRule="atLeast"/>
          <w:jc w:val="center"/>
        </w:trPr>
        <w:tc>
          <w:tcPr>
            <w:tcW w:w="975"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0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w:t>
            </w: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7</w:t>
            </w:r>
            <w:r>
              <w:rPr>
                <w:rFonts w:ascii="Times New Roman" w:hAnsi="Times New Roman" w:eastAsia="仿宋_GB2312" w:cs="Times New Roman"/>
                <w:color w:val="000000" w:themeColor="text1"/>
                <w:kern w:val="0"/>
                <w:sz w:val="21"/>
                <w:szCs w:val="21"/>
                <w:lang w:bidi="ar"/>
                <w14:textFill>
                  <w14:solidFill>
                    <w14:schemeClr w14:val="tx1"/>
                  </w14:solidFill>
                </w14:textFill>
              </w:rPr>
              <w:t>.2</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企业纳税</w:t>
            </w:r>
          </w:p>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 xml:space="preserve">信用等级                       </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企业纳税信用等级为A的得2分，为B的得1分</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2</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12" w:leftChars="0"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正常纳税企业，税务机关每年4月会确定上一年度纳税评价结果。</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599" w:hRule="atLeast"/>
          <w:jc w:val="center"/>
        </w:trPr>
        <w:tc>
          <w:tcPr>
            <w:tcW w:w="97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3</w:t>
            </w:r>
            <w:r>
              <w:rPr>
                <w:rFonts w:ascii="Times New Roman" w:hAnsi="Times New Roman" w:eastAsia="仿宋_GB2312" w:cs="Times New Roman"/>
                <w:color w:val="000000" w:themeColor="text1"/>
                <w:kern w:val="0"/>
                <w:sz w:val="21"/>
                <w:szCs w:val="21"/>
                <w:lang w:bidi="ar"/>
                <w14:textFill>
                  <w14:solidFill>
                    <w14:schemeClr w14:val="tx1"/>
                  </w14:solidFill>
                </w14:textFill>
              </w:rPr>
              <w:t>.良好行为和不良行为</w:t>
            </w:r>
          </w:p>
        </w:tc>
        <w:tc>
          <w:tcPr>
            <w:tcW w:w="92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3</w:t>
            </w:r>
            <w:r>
              <w:rPr>
                <w:rFonts w:ascii="Times New Roman" w:hAnsi="Times New Roman" w:eastAsia="仿宋_GB2312" w:cs="Times New Roman"/>
                <w:color w:val="000000" w:themeColor="text1"/>
                <w:kern w:val="0"/>
                <w:sz w:val="21"/>
                <w:szCs w:val="21"/>
                <w:lang w:bidi="ar"/>
                <w14:textFill>
                  <w14:solidFill>
                    <w14:schemeClr w14:val="tx1"/>
                  </w14:solidFill>
                </w14:textFill>
              </w:rPr>
              <w:t>.1</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良好行为加分</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3</w:t>
            </w:r>
            <w:r>
              <w:rPr>
                <w:rFonts w:ascii="Times New Roman" w:hAnsi="Times New Roman" w:eastAsia="仿宋_GB2312" w:cs="Times New Roman"/>
                <w:color w:val="000000" w:themeColor="text1"/>
                <w:kern w:val="0"/>
                <w:sz w:val="21"/>
                <w:szCs w:val="21"/>
                <w:lang w:bidi="ar"/>
                <w14:textFill>
                  <w14:solidFill>
                    <w14:schemeClr w14:val="tx1"/>
                  </w14:solidFill>
                </w14:textFill>
              </w:rPr>
              <w:t>.1.1</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良好行为</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见良好行为加分表（附件3）</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10</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最高得分限10分。</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667" w:hRule="atLeast"/>
          <w:jc w:val="center"/>
        </w:trPr>
        <w:tc>
          <w:tcPr>
            <w:tcW w:w="97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92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3</w:t>
            </w:r>
            <w:r>
              <w:rPr>
                <w:rFonts w:ascii="Times New Roman" w:hAnsi="Times New Roman" w:eastAsia="仿宋_GB2312" w:cs="Times New Roman"/>
                <w:color w:val="000000" w:themeColor="text1"/>
                <w:kern w:val="0"/>
                <w:sz w:val="21"/>
                <w:szCs w:val="21"/>
                <w:lang w:bidi="ar"/>
                <w14:textFill>
                  <w14:solidFill>
                    <w14:schemeClr w14:val="tx1"/>
                  </w14:solidFill>
                </w14:textFill>
              </w:rPr>
              <w:t>.2</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不良行为扣分</w:t>
            </w:r>
          </w:p>
        </w:tc>
        <w:tc>
          <w:tcPr>
            <w:tcW w:w="124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lang w:val="en-US" w:eastAsia="zh-CN" w:bidi="ar"/>
                <w14:textFill>
                  <w14:solidFill>
                    <w14:schemeClr w14:val="tx1"/>
                  </w14:solidFill>
                </w14:textFill>
              </w:rPr>
              <w:t>3</w:t>
            </w:r>
            <w:r>
              <w:rPr>
                <w:rFonts w:ascii="Times New Roman" w:hAnsi="Times New Roman" w:eastAsia="仿宋_GB2312" w:cs="Times New Roman"/>
                <w:color w:val="000000" w:themeColor="text1"/>
                <w:kern w:val="0"/>
                <w:sz w:val="21"/>
                <w:szCs w:val="21"/>
                <w:lang w:bidi="ar"/>
                <w14:textFill>
                  <w14:solidFill>
                    <w14:schemeClr w14:val="tx1"/>
                  </w14:solidFill>
                </w14:textFill>
              </w:rPr>
              <w:t>.2.1</w:t>
            </w:r>
            <w:r>
              <w:rPr>
                <w:rFonts w:ascii="Times New Roman" w:hAnsi="Times New Roman" w:eastAsia="仿宋_GB2312" w:cs="Times New Roman"/>
                <w:color w:val="000000" w:themeColor="text1"/>
                <w:kern w:val="0"/>
                <w:sz w:val="21"/>
                <w:szCs w:val="21"/>
                <w:lang w:bidi="ar"/>
                <w14:textFill>
                  <w14:solidFill>
                    <w14:schemeClr w14:val="tx1"/>
                  </w14:solidFill>
                </w14:textFill>
              </w:rPr>
              <w:br w:type="textWrapping"/>
            </w:r>
            <w:r>
              <w:rPr>
                <w:rFonts w:ascii="Times New Roman" w:hAnsi="Times New Roman" w:eastAsia="仿宋_GB2312" w:cs="Times New Roman"/>
                <w:color w:val="000000" w:themeColor="text1"/>
                <w:kern w:val="0"/>
                <w:sz w:val="21"/>
                <w:szCs w:val="21"/>
                <w:lang w:bidi="ar"/>
                <w14:textFill>
                  <w14:solidFill>
                    <w14:schemeClr w14:val="tx1"/>
                  </w14:solidFill>
                </w14:textFill>
              </w:rPr>
              <w:t>不良行为</w:t>
            </w:r>
          </w:p>
        </w:tc>
        <w:tc>
          <w:tcPr>
            <w:tcW w:w="33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left"/>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见不良行为扣分表（附件4）</w:t>
            </w:r>
          </w:p>
        </w:tc>
        <w:tc>
          <w:tcPr>
            <w:tcW w:w="1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textAlignment w:val="center"/>
              <w:rPr>
                <w:rFonts w:hint="eastAsia" w:ascii="Times New Roman" w:hAnsi="Times New Roman" w:eastAsia="仿宋_GB2312" w:cs="Times New Roman"/>
                <w:color w:val="000000" w:themeColor="text1"/>
                <w:kern w:val="0"/>
                <w:sz w:val="21"/>
                <w:szCs w:val="21"/>
                <w:lang w:eastAsia="zh-CN" w:bidi="ar"/>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最高减分不限。</w:t>
            </w: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20" w:lineRule="exact"/>
              <w:ind w:firstLine="0" w:firstLineChars="0"/>
              <w:jc w:val="both"/>
              <w:rPr>
                <w:rFonts w:ascii="Times New Roman" w:hAnsi="Times New Roman" w:eastAsia="仿宋_GB2312" w:cs="Times New Roman"/>
                <w:color w:val="000000" w:themeColor="text1"/>
                <w:kern w:val="0"/>
                <w:sz w:val="21"/>
                <w:szCs w:val="21"/>
                <w:lang w:bidi="ar"/>
                <w14:textFill>
                  <w14:solidFill>
                    <w14:schemeClr w14:val="tx1"/>
                  </w14:solidFill>
                </w14:textFill>
              </w:rPr>
            </w:pPr>
          </w:p>
        </w:tc>
      </w:tr>
      <w:tr>
        <w:tblPrEx>
          <w:tblCellMar>
            <w:top w:w="0" w:type="dxa"/>
            <w:left w:w="0" w:type="dxa"/>
            <w:bottom w:w="0" w:type="dxa"/>
            <w:right w:w="0" w:type="dxa"/>
          </w:tblCellMar>
        </w:tblPrEx>
        <w:trPr>
          <w:wBefore w:w="0" w:type="auto"/>
          <w:wAfter w:w="0" w:type="auto"/>
          <w:trHeight w:val="478" w:hRule="atLeast"/>
          <w:jc w:val="center"/>
        </w:trPr>
        <w:tc>
          <w:tcPr>
            <w:tcW w:w="7664" w:type="dxa"/>
            <w:gridSpan w:val="5"/>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b/>
                <w:color w:val="000000" w:themeColor="text1"/>
                <w:sz w:val="21"/>
                <w:szCs w:val="21"/>
                <w14:textFill>
                  <w14:solidFill>
                    <w14:schemeClr w14:val="tx1"/>
                  </w14:solidFill>
                </w14:textFill>
              </w:rPr>
            </w:pPr>
            <w:r>
              <w:rPr>
                <w:rFonts w:ascii="Times New Roman" w:hAnsi="Times New Roman" w:eastAsia="仿宋_GB2312" w:cs="Times New Roman"/>
                <w:b/>
                <w:color w:val="000000" w:themeColor="text1"/>
                <w:kern w:val="0"/>
                <w:sz w:val="21"/>
                <w:szCs w:val="21"/>
                <w:lang w:bidi="ar"/>
                <w14:textFill>
                  <w14:solidFill>
                    <w14:schemeClr w14:val="tx1"/>
                  </w14:solidFill>
                </w14:textFill>
              </w:rPr>
              <w:t>合     计</w:t>
            </w: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jc w:val="center"/>
              <w:textAlignment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lang w:bidi="ar"/>
                <w14:textFill>
                  <w14:solidFill>
                    <w14:schemeClr w14:val="tx1"/>
                  </w14:solidFill>
                </w14:textFill>
              </w:rPr>
              <w:t>100</w:t>
            </w:r>
          </w:p>
        </w:tc>
        <w:tc>
          <w:tcPr>
            <w:tcW w:w="50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left="3" w:leftChars="-3" w:hanging="12" w:hangingChars="6"/>
              <w:rPr>
                <w:rFonts w:ascii="Times New Roman" w:hAnsi="Times New Roman" w:eastAsia="仿宋_GB2312" w:cs="Times New Roman"/>
                <w:color w:val="000000" w:themeColor="text1"/>
                <w:sz w:val="21"/>
                <w:szCs w:val="21"/>
                <w14:textFill>
                  <w14:solidFill>
                    <w14:schemeClr w14:val="tx1"/>
                  </w14:solidFill>
                </w14:textFill>
              </w:rPr>
            </w:pPr>
          </w:p>
        </w:tc>
        <w:tc>
          <w:tcPr>
            <w:tcW w:w="59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0" w:firstLineChars="0"/>
              <w:rPr>
                <w:rFonts w:ascii="Times New Roman" w:hAnsi="Times New Roman" w:eastAsia="仿宋_GB2312" w:cs="Times New Roman"/>
                <w:color w:val="000000" w:themeColor="text1"/>
                <w:sz w:val="21"/>
                <w:szCs w:val="21"/>
                <w14:textFill>
                  <w14:solidFill>
                    <w14:schemeClr w14:val="tx1"/>
                  </w14:solidFill>
                </w14:textFill>
              </w:rPr>
            </w:pPr>
          </w:p>
        </w:tc>
        <w:tc>
          <w:tcPr>
            <w:tcW w:w="38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rPr>
                <w:rFonts w:ascii="Times New Roman" w:hAnsi="Times New Roman" w:eastAsia="仿宋_GB2312" w:cs="Times New Roman"/>
                <w:color w:val="000000" w:themeColor="text1"/>
                <w:sz w:val="21"/>
                <w:szCs w:val="21"/>
                <w14:textFill>
                  <w14:solidFill>
                    <w14:schemeClr w14:val="tx1"/>
                  </w14:solidFill>
                </w14:textFill>
              </w:rPr>
            </w:pPr>
          </w:p>
        </w:tc>
        <w:tc>
          <w:tcPr>
            <w:tcW w:w="319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rPr>
                <w:rFonts w:ascii="Times New Roman" w:hAnsi="Times New Roman" w:eastAsia="仿宋_GB2312" w:cs="Times New Roman"/>
                <w:color w:val="000000" w:themeColor="text1"/>
                <w:sz w:val="21"/>
                <w:szCs w:val="21"/>
                <w14:textFill>
                  <w14:solidFill>
                    <w14:schemeClr w14:val="tx1"/>
                  </w14:solidFill>
                </w14:textFill>
              </w:rPr>
            </w:pPr>
          </w:p>
        </w:tc>
        <w:tc>
          <w:tcPr>
            <w:tcW w:w="235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ind w:firstLine="434"/>
              <w:jc w:val="both"/>
              <w:rPr>
                <w:rFonts w:ascii="Times New Roman" w:hAnsi="Times New Roman" w:eastAsia="仿宋_GB2312" w:cs="Times New Roman"/>
                <w:color w:val="000000" w:themeColor="text1"/>
                <w:sz w:val="21"/>
                <w:szCs w:val="21"/>
                <w14:textFill>
                  <w14:solidFill>
                    <w14:schemeClr w14:val="tx1"/>
                  </w14:solidFill>
                </w14:textFill>
              </w:rPr>
            </w:pPr>
          </w:p>
        </w:tc>
      </w:tr>
    </w:tbl>
    <w:p>
      <w:pPr>
        <w:widowControl/>
        <w:spacing w:line="360" w:lineRule="exact"/>
        <w:ind w:left="-1" w:leftChars="-290" w:hanging="947" w:hangingChars="384"/>
        <w:jc w:val="left"/>
        <w:textAlignment w:val="center"/>
        <w:rPr>
          <w:rFonts w:hint="eastAsia"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注：1、数据来源栏没有说明的，均为“企业填报相关信息，准备相关材料备查，接受社会监督”；</w:t>
      </w:r>
    </w:p>
    <w:p>
      <w:pPr>
        <w:widowControl/>
        <w:numPr>
          <w:ilvl w:val="0"/>
          <w:numId w:val="1"/>
        </w:numPr>
        <w:spacing w:line="360" w:lineRule="exact"/>
        <w:ind w:left="0" w:leftChars="-136" w:hanging="444" w:hangingChars="180"/>
        <w:jc w:val="left"/>
        <w:textAlignment w:val="center"/>
        <w:rPr>
          <w:rFonts w:hint="eastAsia" w:ascii="Times New Roman" w:hAnsi="Times New Roman" w:eastAsia="仿宋_GB2312" w:cs="Times New Roman"/>
          <w:color w:val="000000" w:themeColor="text1"/>
          <w:kern w:val="0"/>
          <w:sz w:val="24"/>
          <w:szCs w:val="24"/>
          <w:lang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上述评价标准中提及的“上一年度”：除经营能力数据及企业纳税等级信息外，均为企业申报日期前12个月</w:t>
      </w:r>
      <w:r>
        <w:rPr>
          <w:rFonts w:hint="eastAsia" w:ascii="Times New Roman" w:hAnsi="Times New Roman" w:eastAsia="仿宋_GB2312" w:cs="Times New Roman"/>
          <w:color w:val="000000" w:themeColor="text1"/>
          <w:kern w:val="0"/>
          <w:sz w:val="24"/>
          <w:szCs w:val="24"/>
          <w:lang w:eastAsia="zh-CN" w:bidi="ar"/>
          <w14:textFill>
            <w14:solidFill>
              <w14:schemeClr w14:val="tx1"/>
            </w14:solidFill>
          </w14:textFill>
        </w:rPr>
        <w:t>；</w:t>
      </w:r>
    </w:p>
    <w:p>
      <w:pPr>
        <w:widowControl/>
        <w:numPr>
          <w:ilvl w:val="0"/>
          <w:numId w:val="1"/>
        </w:numPr>
        <w:spacing w:line="360" w:lineRule="exact"/>
        <w:ind w:left="0" w:leftChars="-136" w:hanging="444" w:hangingChars="180"/>
        <w:jc w:val="left"/>
        <w:textAlignment w:val="center"/>
        <w:rPr>
          <w:rFonts w:ascii="Times New Roman" w:hAnsi="Times New Roman" w:eastAsia="仿宋_GB2312" w:cs="Times New Roman"/>
          <w:color w:val="000000" w:themeColor="text1"/>
          <w:kern w:val="0"/>
          <w:sz w:val="21"/>
          <w:szCs w:val="21"/>
          <w:lang w:bidi="ar"/>
          <w14:textFill>
            <w14:solidFill>
              <w14:schemeClr w14:val="tx1"/>
            </w14:solidFill>
          </w14:textFill>
        </w:rPr>
        <w:sectPr>
          <w:pgSz w:w="16838" w:h="11906" w:orient="landscape"/>
          <w:pgMar w:top="1701" w:right="1701" w:bottom="1701" w:left="1701" w:header="0" w:footer="1417" w:gutter="0"/>
          <w:cols w:space="0" w:num="1"/>
          <w:docGrid w:type="linesAndChars" w:linePitch="607" w:charSpace="1449"/>
        </w:sect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得分合计100分，所有得分小数点后保留2位</w:t>
      </w:r>
      <w:r>
        <w:rPr>
          <w:rFonts w:hint="eastAsia" w:ascii="Times New Roman" w:hAnsi="Times New Roman" w:eastAsia="仿宋_GB2312" w:cs="Times New Roman"/>
          <w:color w:val="000000" w:themeColor="text1"/>
          <w:kern w:val="0"/>
          <w:sz w:val="24"/>
          <w:szCs w:val="24"/>
          <w:lang w:eastAsia="zh-CN" w:bidi="ar"/>
          <w14:textFill>
            <w14:solidFill>
              <w14:schemeClr w14:val="tx1"/>
            </w14:solidFill>
          </w14:textFill>
        </w:rPr>
        <w:t>。</w:t>
      </w:r>
    </w:p>
    <w:p>
      <w:pPr>
        <w:widowControl/>
        <w:ind w:firstLine="671"/>
        <w:jc w:val="left"/>
        <w:rPr>
          <w:rFonts w:ascii="黑体" w:hAnsi="黑体" w:eastAsia="黑体" w:cs="黑体"/>
          <w:color w:val="000000" w:themeColor="text1"/>
          <w:position w:val="-6"/>
          <w:szCs w:val="32"/>
          <w14:textFill>
            <w14:solidFill>
              <w14:schemeClr w14:val="tx1"/>
            </w14:solidFill>
          </w14:textFill>
        </w:rPr>
      </w:pPr>
    </w:p>
    <w:p>
      <w:pPr>
        <w:spacing w:line="578" w:lineRule="exact"/>
        <w:ind w:leftChars="-196" w:hanging="656" w:hangingChars="196"/>
        <w:rPr>
          <w:rFonts w:ascii="黑体" w:hAnsi="黑体" w:eastAsia="黑体" w:cs="黑体"/>
          <w:position w:val="-6"/>
          <w:szCs w:val="32"/>
        </w:rPr>
      </w:pPr>
      <w:r>
        <w:rPr>
          <w:rFonts w:hint="eastAsia" w:ascii="黑体" w:hAnsi="黑体" w:eastAsia="黑体" w:cs="黑体"/>
          <w:position w:val="-6"/>
          <w:szCs w:val="32"/>
        </w:rPr>
        <w:t>附件2：</w:t>
      </w:r>
    </w:p>
    <w:p>
      <w:pPr>
        <w:spacing w:line="578" w:lineRule="exact"/>
        <w:ind w:firstLine="751"/>
        <w:jc w:val="center"/>
        <w:rPr>
          <w:rFonts w:ascii="方正小标宋简体" w:hAnsi="方正小标宋简体" w:eastAsia="方正小标宋简体" w:cs="方正小标宋简体"/>
          <w:position w:val="-6"/>
          <w:sz w:val="36"/>
          <w:szCs w:val="36"/>
        </w:rPr>
      </w:pPr>
      <w:r>
        <w:rPr>
          <w:rFonts w:hint="eastAsia" w:ascii="方正小标宋简体" w:hAnsi="方正小标宋简体" w:eastAsia="方正小标宋简体" w:cs="方正小标宋简体"/>
          <w:position w:val="-6"/>
          <w:sz w:val="36"/>
          <w:szCs w:val="36"/>
        </w:rPr>
        <w:t>工程造价咨询企业营业收入</w:t>
      </w:r>
    </w:p>
    <w:p>
      <w:pPr>
        <w:spacing w:after="303" w:afterLines="50" w:line="578" w:lineRule="exact"/>
        <w:ind w:firstLine="751"/>
        <w:jc w:val="center"/>
        <w:rPr>
          <w:rFonts w:ascii="方正小标宋简体" w:hAnsi="方正小标宋简体" w:eastAsia="方正小标宋简体" w:cs="方正小标宋简体"/>
          <w:position w:val="-6"/>
          <w:sz w:val="36"/>
          <w:szCs w:val="36"/>
        </w:rPr>
      </w:pPr>
      <w:r>
        <w:rPr>
          <w:rFonts w:hint="eastAsia" w:ascii="方正小标宋简体" w:hAnsi="方正小标宋简体" w:eastAsia="方正小标宋简体" w:cs="方正小标宋简体"/>
          <w:position w:val="-6"/>
          <w:sz w:val="36"/>
          <w:szCs w:val="36"/>
        </w:rPr>
        <w:t>及造价咨询业务收入评分表</w:t>
      </w:r>
    </w:p>
    <w:p>
      <w:pPr>
        <w:spacing w:after="303" w:afterLines="50" w:line="578" w:lineRule="exact"/>
        <w:ind w:firstLine="751"/>
        <w:jc w:val="center"/>
        <w:rPr>
          <w:rFonts w:ascii="方正小标宋简体" w:hAnsi="方正小标宋简体" w:eastAsia="方正小标宋简体" w:cs="方正小标宋简体"/>
          <w:position w:val="-6"/>
          <w:sz w:val="36"/>
          <w:szCs w:val="36"/>
        </w:rPr>
      </w:pPr>
    </w:p>
    <w:tbl>
      <w:tblPr>
        <w:tblStyle w:val="9"/>
        <w:tblW w:w="9238" w:type="dxa"/>
        <w:jc w:val="center"/>
        <w:tblLayout w:type="fixed"/>
        <w:tblCellMar>
          <w:top w:w="0" w:type="dxa"/>
          <w:left w:w="0" w:type="dxa"/>
          <w:bottom w:w="0" w:type="dxa"/>
          <w:right w:w="0" w:type="dxa"/>
        </w:tblCellMar>
      </w:tblPr>
      <w:tblGrid>
        <w:gridCol w:w="842"/>
        <w:gridCol w:w="3401"/>
        <w:gridCol w:w="1559"/>
        <w:gridCol w:w="2268"/>
        <w:gridCol w:w="1168"/>
      </w:tblGrid>
      <w:tr>
        <w:tblPrEx>
          <w:tblCellMar>
            <w:top w:w="0" w:type="dxa"/>
            <w:left w:w="0" w:type="dxa"/>
            <w:bottom w:w="0" w:type="dxa"/>
            <w:right w:w="0" w:type="dxa"/>
          </w:tblCellMar>
        </w:tblPrEx>
        <w:trPr>
          <w:trHeight w:val="554" w:hRule="atLeast"/>
          <w:jc w:val="center"/>
        </w:trPr>
        <w:tc>
          <w:tcPr>
            <w:tcW w:w="842" w:type="dxa"/>
            <w:tcBorders>
              <w:top w:val="single" w:color="000000" w:sz="8" w:space="0"/>
              <w:left w:val="single" w:color="000000" w:sz="8"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b/>
                <w:sz w:val="24"/>
                <w:szCs w:val="24"/>
              </w:rPr>
            </w:pPr>
            <w:r>
              <w:rPr>
                <w:rFonts w:ascii="Times New Roman" w:hAnsi="Times New Roman" w:eastAsia="仿宋_GB2312" w:cs="Times New Roman"/>
                <w:b/>
                <w:kern w:val="0"/>
                <w:sz w:val="24"/>
                <w:szCs w:val="24"/>
                <w:lang w:bidi="ar"/>
              </w:rPr>
              <w:t>序号</w:t>
            </w:r>
          </w:p>
        </w:tc>
        <w:tc>
          <w:tcPr>
            <w:tcW w:w="3401" w:type="dxa"/>
            <w:tcBorders>
              <w:top w:val="single" w:color="000000" w:sz="8"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b/>
                <w:sz w:val="24"/>
                <w:szCs w:val="24"/>
              </w:rPr>
            </w:pPr>
            <w:r>
              <w:rPr>
                <w:rFonts w:ascii="Times New Roman" w:hAnsi="Times New Roman" w:eastAsia="仿宋_GB2312" w:cs="Times New Roman"/>
                <w:b/>
                <w:kern w:val="0"/>
                <w:sz w:val="24"/>
                <w:szCs w:val="24"/>
                <w:lang w:bidi="ar"/>
              </w:rPr>
              <w:t>收入排名</w:t>
            </w:r>
          </w:p>
        </w:tc>
        <w:tc>
          <w:tcPr>
            <w:tcW w:w="1559" w:type="dxa"/>
            <w:tcBorders>
              <w:top w:val="single" w:color="000000" w:sz="8"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b/>
                <w:sz w:val="24"/>
                <w:szCs w:val="24"/>
              </w:rPr>
            </w:pPr>
            <w:r>
              <w:rPr>
                <w:rFonts w:ascii="Times New Roman" w:hAnsi="Times New Roman" w:eastAsia="仿宋_GB2312" w:cs="Times New Roman"/>
                <w:b/>
                <w:kern w:val="0"/>
                <w:sz w:val="24"/>
                <w:szCs w:val="24"/>
                <w:lang w:bidi="ar"/>
              </w:rPr>
              <w:t>营业收入分值</w:t>
            </w:r>
          </w:p>
        </w:tc>
        <w:tc>
          <w:tcPr>
            <w:tcW w:w="2268" w:type="dxa"/>
            <w:tcBorders>
              <w:top w:val="single" w:color="000000" w:sz="8" w:space="0"/>
              <w:left w:val="single" w:color="000000" w:sz="4" w:space="0"/>
              <w:bottom w:val="single" w:color="000000" w:sz="4" w:space="0"/>
              <w:right w:val="nil"/>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b/>
                <w:sz w:val="24"/>
                <w:szCs w:val="24"/>
              </w:rPr>
            </w:pPr>
            <w:r>
              <w:rPr>
                <w:rFonts w:ascii="Times New Roman" w:hAnsi="Times New Roman" w:eastAsia="仿宋_GB2312" w:cs="Times New Roman"/>
                <w:b/>
                <w:kern w:val="0"/>
                <w:sz w:val="24"/>
                <w:szCs w:val="24"/>
                <w:lang w:bidi="ar"/>
              </w:rPr>
              <w:t>造价咨询收入分值</w:t>
            </w:r>
          </w:p>
        </w:tc>
        <w:tc>
          <w:tcPr>
            <w:tcW w:w="1168" w:type="dxa"/>
            <w:tcBorders>
              <w:top w:val="single" w:color="000000" w:sz="8" w:space="0"/>
              <w:left w:val="single" w:color="000000" w:sz="4" w:space="0"/>
              <w:bottom w:val="single" w:color="000000" w:sz="4" w:space="0"/>
              <w:right w:val="single" w:color="000000" w:sz="8"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b/>
                <w:sz w:val="24"/>
                <w:szCs w:val="24"/>
              </w:rPr>
            </w:pPr>
            <w:r>
              <w:rPr>
                <w:rFonts w:ascii="Times New Roman" w:hAnsi="Times New Roman" w:eastAsia="仿宋_GB2312" w:cs="Times New Roman"/>
                <w:b/>
                <w:kern w:val="0"/>
                <w:sz w:val="24"/>
                <w:szCs w:val="24"/>
                <w:lang w:bidi="ar"/>
              </w:rPr>
              <w:t>备注</w:t>
            </w:r>
          </w:p>
        </w:tc>
      </w:tr>
      <w:tr>
        <w:tblPrEx>
          <w:tblCellMar>
            <w:top w:w="0" w:type="dxa"/>
            <w:left w:w="0" w:type="dxa"/>
            <w:bottom w:w="0" w:type="dxa"/>
            <w:right w:w="0" w:type="dxa"/>
          </w:tblCellMar>
        </w:tblPrEx>
        <w:trPr>
          <w:trHeight w:val="693" w:hRule="atLeast"/>
          <w:jc w:val="center"/>
        </w:trPr>
        <w:tc>
          <w:tcPr>
            <w:tcW w:w="842" w:type="dxa"/>
            <w:tcBorders>
              <w:top w:val="single" w:color="000000" w:sz="4" w:space="0"/>
              <w:left w:val="single" w:color="000000" w:sz="8"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1</w:t>
            </w:r>
          </w:p>
        </w:tc>
        <w:tc>
          <w:tcPr>
            <w:tcW w:w="340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Style w:val="25"/>
                <w:rFonts w:hint="default" w:ascii="Times New Roman" w:hAnsi="Times New Roman" w:eastAsia="仿宋_GB2312" w:cs="Times New Roman"/>
                <w:sz w:val="24"/>
                <w:szCs w:val="24"/>
                <w:lang w:bidi="ar"/>
              </w:rPr>
              <w:t>前</w:t>
            </w:r>
            <w:r>
              <w:rPr>
                <w:rStyle w:val="26"/>
                <w:rFonts w:ascii="Times New Roman" w:hAnsi="Times New Roman" w:eastAsia="仿宋_GB2312" w:cs="Times New Roman"/>
                <w:sz w:val="24"/>
                <w:szCs w:val="24"/>
                <w:lang w:bidi="ar"/>
              </w:rPr>
              <w:t>10%</w:t>
            </w:r>
            <w:r>
              <w:rPr>
                <w:rStyle w:val="25"/>
                <w:rFonts w:hint="default" w:ascii="Times New Roman" w:hAnsi="Times New Roman" w:eastAsia="仿宋_GB2312" w:cs="Times New Roman"/>
                <w:sz w:val="24"/>
                <w:szCs w:val="24"/>
                <w:lang w:bidi="ar"/>
              </w:rPr>
              <w:t>（含）</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6</w:t>
            </w:r>
          </w:p>
        </w:tc>
        <w:tc>
          <w:tcPr>
            <w:tcW w:w="2268" w:type="dxa"/>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r>
              <w:rPr>
                <w:rFonts w:ascii="Times New Roman" w:hAnsi="Times New Roman" w:eastAsia="仿宋_GB2312" w:cs="Times New Roman"/>
                <w:sz w:val="24"/>
                <w:szCs w:val="24"/>
              </w:rPr>
              <w:t>2</w:t>
            </w:r>
          </w:p>
        </w:tc>
        <w:tc>
          <w:tcPr>
            <w:tcW w:w="1168" w:type="dxa"/>
            <w:tcBorders>
              <w:top w:val="single" w:color="000000" w:sz="4" w:space="0"/>
              <w:left w:val="single" w:color="000000" w:sz="4" w:space="0"/>
              <w:bottom w:val="single" w:color="000000" w:sz="4" w:space="0"/>
              <w:right w:val="single" w:color="000000" w:sz="8" w:space="0"/>
            </w:tcBorders>
            <w:shd w:val="clear" w:color="auto" w:fill="auto"/>
            <w:noWrap/>
            <w:tcMar>
              <w:top w:w="12" w:type="dxa"/>
              <w:left w:w="12" w:type="dxa"/>
              <w:right w:w="12" w:type="dxa"/>
            </w:tcMar>
            <w:vAlign w:val="center"/>
          </w:tcPr>
          <w:p>
            <w:pPr>
              <w:spacing w:line="240" w:lineRule="exact"/>
              <w:ind w:left="2" w:leftChars="-7" w:hanging="25" w:hangingChars="10"/>
              <w:jc w:val="center"/>
              <w:rPr>
                <w:rFonts w:ascii="Times New Roman" w:hAnsi="Times New Roman" w:eastAsia="仿宋_GB2312" w:cs="Times New Roman"/>
                <w:sz w:val="24"/>
                <w:szCs w:val="24"/>
              </w:rPr>
            </w:pPr>
          </w:p>
        </w:tc>
      </w:tr>
      <w:tr>
        <w:tblPrEx>
          <w:tblCellMar>
            <w:top w:w="0" w:type="dxa"/>
            <w:left w:w="0" w:type="dxa"/>
            <w:bottom w:w="0" w:type="dxa"/>
            <w:right w:w="0" w:type="dxa"/>
          </w:tblCellMar>
        </w:tblPrEx>
        <w:trPr>
          <w:trHeight w:val="689" w:hRule="atLeast"/>
          <w:jc w:val="center"/>
        </w:trPr>
        <w:tc>
          <w:tcPr>
            <w:tcW w:w="842" w:type="dxa"/>
            <w:tcBorders>
              <w:top w:val="single" w:color="000000" w:sz="4" w:space="0"/>
              <w:left w:val="single" w:color="000000" w:sz="8"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kern w:val="0"/>
                <w:sz w:val="24"/>
                <w:szCs w:val="24"/>
                <w:lang w:bidi="ar"/>
              </w:rPr>
            </w:pPr>
            <w:r>
              <w:rPr>
                <w:rFonts w:hint="eastAsia" w:ascii="Times New Roman" w:hAnsi="Times New Roman" w:eastAsia="仿宋_GB2312" w:cs="Times New Roman"/>
                <w:kern w:val="0"/>
                <w:sz w:val="24"/>
                <w:szCs w:val="24"/>
                <w:lang w:bidi="ar"/>
              </w:rPr>
              <w:t>2</w:t>
            </w:r>
          </w:p>
        </w:tc>
        <w:tc>
          <w:tcPr>
            <w:tcW w:w="340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Style w:val="25"/>
                <w:rFonts w:hint="default" w:ascii="Times New Roman" w:hAnsi="Times New Roman" w:eastAsia="仿宋_GB2312" w:cs="Times New Roman"/>
                <w:sz w:val="24"/>
                <w:szCs w:val="24"/>
                <w:lang w:bidi="ar"/>
              </w:rPr>
            </w:pPr>
            <w:r>
              <w:rPr>
                <w:rStyle w:val="25"/>
                <w:rFonts w:hint="default" w:ascii="Times New Roman" w:hAnsi="Times New Roman" w:eastAsia="仿宋_GB2312" w:cs="Times New Roman"/>
                <w:sz w:val="24"/>
                <w:szCs w:val="24"/>
                <w:lang w:bidi="ar"/>
              </w:rPr>
              <w:t>前</w:t>
            </w:r>
            <w:r>
              <w:rPr>
                <w:rStyle w:val="26"/>
                <w:rFonts w:ascii="Times New Roman" w:hAnsi="Times New Roman" w:eastAsia="仿宋_GB2312" w:cs="Times New Roman"/>
                <w:sz w:val="24"/>
                <w:szCs w:val="24"/>
                <w:lang w:bidi="ar"/>
              </w:rPr>
              <w:t>10</w:t>
            </w:r>
            <w:r>
              <w:rPr>
                <w:rStyle w:val="26"/>
                <w:rFonts w:hint="eastAsia" w:ascii="Times New Roman" w:hAnsi="Times New Roman" w:eastAsia="仿宋_GB2312" w:cs="Times New Roman"/>
                <w:sz w:val="24"/>
                <w:szCs w:val="24"/>
                <w:lang w:val="en-US" w:eastAsia="zh-CN" w:bidi="ar"/>
              </w:rPr>
              <w:t>%</w:t>
            </w:r>
            <w:r>
              <w:rPr>
                <w:rStyle w:val="26"/>
                <w:rFonts w:ascii="Times New Roman" w:hAnsi="Times New Roman" w:eastAsia="仿宋_GB2312" w:cs="Times New Roman"/>
                <w:sz w:val="24"/>
                <w:szCs w:val="24"/>
                <w:lang w:bidi="ar"/>
              </w:rPr>
              <w:t>~20</w:t>
            </w:r>
            <w:r>
              <w:rPr>
                <w:rStyle w:val="26"/>
                <w:rFonts w:hint="eastAsia" w:ascii="Times New Roman" w:hAnsi="Times New Roman" w:eastAsia="仿宋_GB2312" w:cs="Times New Roman"/>
                <w:sz w:val="24"/>
                <w:szCs w:val="24"/>
                <w:lang w:bidi="ar"/>
              </w:rPr>
              <w:t>%</w:t>
            </w:r>
            <w:r>
              <w:rPr>
                <w:rStyle w:val="25"/>
                <w:rFonts w:hint="default" w:ascii="Times New Roman" w:hAnsi="Times New Roman" w:eastAsia="仿宋_GB2312" w:cs="Times New Roman"/>
                <w:sz w:val="24"/>
                <w:szCs w:val="24"/>
                <w:lang w:bidi="ar"/>
              </w:rPr>
              <w:t>（含）</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kern w:val="0"/>
                <w:sz w:val="24"/>
                <w:szCs w:val="24"/>
                <w:lang w:bidi="ar"/>
              </w:rPr>
            </w:pPr>
            <w:r>
              <w:rPr>
                <w:rFonts w:hint="eastAsia" w:ascii="Times New Roman" w:hAnsi="Times New Roman" w:eastAsia="仿宋_GB2312" w:cs="Times New Roman"/>
                <w:kern w:val="0"/>
                <w:sz w:val="24"/>
                <w:szCs w:val="24"/>
                <w:lang w:bidi="ar"/>
              </w:rPr>
              <w:t>5</w:t>
            </w:r>
          </w:p>
        </w:tc>
        <w:tc>
          <w:tcPr>
            <w:tcW w:w="2268" w:type="dxa"/>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kern w:val="0"/>
                <w:sz w:val="24"/>
                <w:szCs w:val="24"/>
                <w:lang w:bidi="ar"/>
              </w:rPr>
            </w:pPr>
            <w:r>
              <w:rPr>
                <w:rFonts w:hint="eastAsia" w:ascii="Times New Roman" w:hAnsi="Times New Roman" w:eastAsia="仿宋_GB2312" w:cs="Times New Roman"/>
                <w:kern w:val="0"/>
                <w:sz w:val="24"/>
                <w:szCs w:val="24"/>
                <w:lang w:bidi="ar"/>
              </w:rPr>
              <w:t>1</w:t>
            </w:r>
            <w:r>
              <w:rPr>
                <w:rFonts w:ascii="Times New Roman" w:hAnsi="Times New Roman" w:eastAsia="仿宋_GB2312" w:cs="Times New Roman"/>
                <w:kern w:val="0"/>
                <w:sz w:val="24"/>
                <w:szCs w:val="24"/>
                <w:lang w:bidi="ar"/>
              </w:rPr>
              <w:t>0</w:t>
            </w:r>
          </w:p>
        </w:tc>
        <w:tc>
          <w:tcPr>
            <w:tcW w:w="1168" w:type="dxa"/>
            <w:tcBorders>
              <w:top w:val="single" w:color="000000" w:sz="4" w:space="0"/>
              <w:left w:val="single" w:color="000000" w:sz="4" w:space="0"/>
              <w:bottom w:val="single" w:color="000000" w:sz="4" w:space="0"/>
              <w:right w:val="single" w:color="000000" w:sz="8" w:space="0"/>
            </w:tcBorders>
            <w:shd w:val="clear" w:color="auto" w:fill="auto"/>
            <w:noWrap/>
            <w:tcMar>
              <w:top w:w="12" w:type="dxa"/>
              <w:left w:w="12" w:type="dxa"/>
              <w:right w:w="12" w:type="dxa"/>
            </w:tcMar>
            <w:vAlign w:val="center"/>
          </w:tcPr>
          <w:p>
            <w:pPr>
              <w:spacing w:line="240" w:lineRule="exact"/>
              <w:ind w:left="2" w:leftChars="-7" w:hanging="25" w:hangingChars="10"/>
              <w:jc w:val="center"/>
              <w:rPr>
                <w:rFonts w:ascii="Times New Roman" w:hAnsi="Times New Roman" w:eastAsia="仿宋_GB2312" w:cs="Times New Roman"/>
                <w:sz w:val="24"/>
                <w:szCs w:val="24"/>
              </w:rPr>
            </w:pPr>
          </w:p>
        </w:tc>
      </w:tr>
      <w:tr>
        <w:tblPrEx>
          <w:tblCellMar>
            <w:top w:w="0" w:type="dxa"/>
            <w:left w:w="0" w:type="dxa"/>
            <w:bottom w:w="0" w:type="dxa"/>
            <w:right w:w="0" w:type="dxa"/>
          </w:tblCellMar>
        </w:tblPrEx>
        <w:trPr>
          <w:trHeight w:val="684" w:hRule="atLeast"/>
          <w:jc w:val="center"/>
        </w:trPr>
        <w:tc>
          <w:tcPr>
            <w:tcW w:w="842" w:type="dxa"/>
            <w:tcBorders>
              <w:top w:val="single" w:color="000000" w:sz="4" w:space="0"/>
              <w:left w:val="single" w:color="000000" w:sz="8"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kern w:val="0"/>
                <w:sz w:val="24"/>
                <w:szCs w:val="24"/>
                <w:lang w:bidi="ar"/>
              </w:rPr>
            </w:pPr>
            <w:r>
              <w:rPr>
                <w:rFonts w:ascii="Times New Roman" w:hAnsi="Times New Roman" w:eastAsia="仿宋_GB2312" w:cs="Times New Roman"/>
                <w:kern w:val="0"/>
                <w:sz w:val="24"/>
                <w:szCs w:val="24"/>
                <w:lang w:bidi="ar"/>
              </w:rPr>
              <w:t>3</w:t>
            </w:r>
          </w:p>
        </w:tc>
        <w:tc>
          <w:tcPr>
            <w:tcW w:w="340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Style w:val="25"/>
                <w:rFonts w:hint="default" w:ascii="Times New Roman" w:hAnsi="Times New Roman" w:eastAsia="仿宋_GB2312" w:cs="Times New Roman"/>
                <w:sz w:val="24"/>
                <w:szCs w:val="24"/>
                <w:lang w:bidi="ar"/>
              </w:rPr>
            </w:pPr>
            <w:r>
              <w:rPr>
                <w:rStyle w:val="25"/>
                <w:rFonts w:hint="default" w:ascii="Times New Roman" w:hAnsi="Times New Roman" w:eastAsia="仿宋_GB2312" w:cs="Times New Roman"/>
                <w:sz w:val="24"/>
                <w:szCs w:val="24"/>
                <w:lang w:bidi="ar"/>
              </w:rPr>
              <w:t>前</w:t>
            </w:r>
            <w:r>
              <w:rPr>
                <w:rStyle w:val="26"/>
                <w:rFonts w:ascii="Times New Roman" w:hAnsi="Times New Roman" w:eastAsia="仿宋_GB2312" w:cs="Times New Roman"/>
                <w:sz w:val="24"/>
                <w:szCs w:val="24"/>
                <w:lang w:bidi="ar"/>
              </w:rPr>
              <w:t>2</w:t>
            </w:r>
            <w:r>
              <w:rPr>
                <w:rStyle w:val="26"/>
                <w:rFonts w:hint="eastAsia" w:ascii="Times New Roman" w:hAnsi="Times New Roman" w:eastAsia="仿宋_GB2312" w:cs="Times New Roman"/>
                <w:sz w:val="24"/>
                <w:szCs w:val="24"/>
                <w:lang w:bidi="ar"/>
              </w:rPr>
              <w:t>0</w:t>
            </w:r>
            <w:r>
              <w:rPr>
                <w:rStyle w:val="26"/>
                <w:rFonts w:hint="eastAsia" w:ascii="Times New Roman" w:hAnsi="Times New Roman" w:eastAsia="仿宋_GB2312" w:cs="Times New Roman"/>
                <w:sz w:val="24"/>
                <w:szCs w:val="24"/>
                <w:lang w:val="en-US" w:eastAsia="zh-CN" w:bidi="ar"/>
              </w:rPr>
              <w:t>%</w:t>
            </w:r>
            <w:r>
              <w:rPr>
                <w:rStyle w:val="26"/>
                <w:rFonts w:ascii="Times New Roman" w:hAnsi="Times New Roman" w:eastAsia="仿宋_GB2312" w:cs="Times New Roman"/>
                <w:sz w:val="24"/>
                <w:szCs w:val="24"/>
                <w:lang w:bidi="ar"/>
              </w:rPr>
              <w:t xml:space="preserve"> ~ 30%</w:t>
            </w:r>
            <w:r>
              <w:rPr>
                <w:rStyle w:val="25"/>
                <w:rFonts w:hint="default" w:ascii="Times New Roman" w:hAnsi="Times New Roman" w:eastAsia="仿宋_GB2312" w:cs="Times New Roman"/>
                <w:sz w:val="24"/>
                <w:szCs w:val="24"/>
                <w:lang w:bidi="ar"/>
              </w:rPr>
              <w:t>（含）</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kern w:val="0"/>
                <w:sz w:val="24"/>
                <w:szCs w:val="24"/>
                <w:lang w:bidi="ar"/>
              </w:rPr>
            </w:pPr>
            <w:r>
              <w:rPr>
                <w:rFonts w:ascii="Times New Roman" w:hAnsi="Times New Roman" w:eastAsia="仿宋_GB2312" w:cs="Times New Roman"/>
                <w:kern w:val="0"/>
                <w:sz w:val="24"/>
                <w:szCs w:val="24"/>
                <w:lang w:bidi="ar"/>
              </w:rPr>
              <w:t>4</w:t>
            </w:r>
          </w:p>
        </w:tc>
        <w:tc>
          <w:tcPr>
            <w:tcW w:w="2268" w:type="dxa"/>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kern w:val="0"/>
                <w:sz w:val="24"/>
                <w:szCs w:val="24"/>
                <w:lang w:bidi="ar"/>
              </w:rPr>
            </w:pPr>
            <w:r>
              <w:rPr>
                <w:rFonts w:ascii="Times New Roman" w:hAnsi="Times New Roman" w:eastAsia="仿宋_GB2312" w:cs="Times New Roman"/>
                <w:kern w:val="0"/>
                <w:sz w:val="24"/>
                <w:szCs w:val="24"/>
                <w:lang w:bidi="ar"/>
              </w:rPr>
              <w:t>8</w:t>
            </w:r>
          </w:p>
        </w:tc>
        <w:tc>
          <w:tcPr>
            <w:tcW w:w="1168" w:type="dxa"/>
            <w:tcBorders>
              <w:top w:val="single" w:color="000000" w:sz="4" w:space="0"/>
              <w:left w:val="single" w:color="000000" w:sz="4" w:space="0"/>
              <w:bottom w:val="single" w:color="000000" w:sz="4" w:space="0"/>
              <w:right w:val="single" w:color="000000" w:sz="8" w:space="0"/>
            </w:tcBorders>
            <w:shd w:val="clear" w:color="auto" w:fill="auto"/>
            <w:noWrap/>
            <w:tcMar>
              <w:top w:w="12" w:type="dxa"/>
              <w:left w:w="12" w:type="dxa"/>
              <w:right w:w="12" w:type="dxa"/>
            </w:tcMar>
            <w:vAlign w:val="center"/>
          </w:tcPr>
          <w:p>
            <w:pPr>
              <w:spacing w:line="240" w:lineRule="exact"/>
              <w:ind w:left="2" w:leftChars="-7" w:hanging="25" w:hangingChars="10"/>
              <w:jc w:val="center"/>
              <w:rPr>
                <w:rFonts w:ascii="Times New Roman" w:hAnsi="Times New Roman" w:eastAsia="仿宋_GB2312" w:cs="Times New Roman"/>
                <w:sz w:val="24"/>
                <w:szCs w:val="24"/>
              </w:rPr>
            </w:pPr>
          </w:p>
        </w:tc>
      </w:tr>
      <w:tr>
        <w:tblPrEx>
          <w:tblCellMar>
            <w:top w:w="0" w:type="dxa"/>
            <w:left w:w="0" w:type="dxa"/>
            <w:bottom w:w="0" w:type="dxa"/>
            <w:right w:w="0" w:type="dxa"/>
          </w:tblCellMar>
        </w:tblPrEx>
        <w:trPr>
          <w:trHeight w:val="694" w:hRule="atLeast"/>
          <w:jc w:val="center"/>
        </w:trPr>
        <w:tc>
          <w:tcPr>
            <w:tcW w:w="842" w:type="dxa"/>
            <w:tcBorders>
              <w:top w:val="single" w:color="000000" w:sz="4" w:space="0"/>
              <w:left w:val="single" w:color="000000" w:sz="8"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4</w:t>
            </w:r>
          </w:p>
        </w:tc>
        <w:tc>
          <w:tcPr>
            <w:tcW w:w="340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Style w:val="25"/>
                <w:rFonts w:hint="default" w:ascii="Times New Roman" w:hAnsi="Times New Roman" w:eastAsia="仿宋_GB2312" w:cs="Times New Roman"/>
                <w:sz w:val="24"/>
                <w:szCs w:val="24"/>
                <w:lang w:bidi="ar"/>
              </w:rPr>
              <w:t>前</w:t>
            </w:r>
            <w:r>
              <w:rPr>
                <w:rStyle w:val="26"/>
                <w:rFonts w:ascii="Times New Roman" w:hAnsi="Times New Roman" w:eastAsia="仿宋_GB2312" w:cs="Times New Roman"/>
                <w:sz w:val="24"/>
                <w:szCs w:val="24"/>
                <w:lang w:bidi="ar"/>
              </w:rPr>
              <w:t>30</w:t>
            </w:r>
            <w:r>
              <w:rPr>
                <w:rStyle w:val="26"/>
                <w:rFonts w:hint="eastAsia" w:ascii="Times New Roman" w:hAnsi="Times New Roman" w:eastAsia="仿宋_GB2312" w:cs="Times New Roman"/>
                <w:sz w:val="24"/>
                <w:szCs w:val="24"/>
                <w:lang w:val="en-US" w:eastAsia="zh-CN" w:bidi="ar"/>
              </w:rPr>
              <w:t>%</w:t>
            </w:r>
            <w:r>
              <w:rPr>
                <w:rStyle w:val="26"/>
                <w:rFonts w:ascii="Times New Roman" w:hAnsi="Times New Roman" w:eastAsia="仿宋_GB2312" w:cs="Times New Roman"/>
                <w:sz w:val="24"/>
                <w:szCs w:val="24"/>
                <w:lang w:bidi="ar"/>
              </w:rPr>
              <w:t xml:space="preserve"> ~40%</w:t>
            </w:r>
            <w:r>
              <w:rPr>
                <w:rStyle w:val="25"/>
                <w:rFonts w:hint="default" w:ascii="Times New Roman" w:hAnsi="Times New Roman" w:eastAsia="仿宋_GB2312" w:cs="Times New Roman"/>
                <w:sz w:val="24"/>
                <w:szCs w:val="24"/>
                <w:lang w:bidi="ar"/>
              </w:rPr>
              <w:t>（含）</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2268" w:type="dxa"/>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168" w:type="dxa"/>
            <w:tcBorders>
              <w:top w:val="single" w:color="000000" w:sz="4" w:space="0"/>
              <w:left w:val="single" w:color="000000" w:sz="4" w:space="0"/>
              <w:bottom w:val="single" w:color="000000" w:sz="4" w:space="0"/>
              <w:right w:val="single" w:color="000000" w:sz="8" w:space="0"/>
            </w:tcBorders>
            <w:shd w:val="clear" w:color="auto" w:fill="auto"/>
            <w:noWrap/>
            <w:tcMar>
              <w:top w:w="12" w:type="dxa"/>
              <w:left w:w="12" w:type="dxa"/>
              <w:right w:w="12" w:type="dxa"/>
            </w:tcMar>
            <w:vAlign w:val="center"/>
          </w:tcPr>
          <w:p>
            <w:pPr>
              <w:spacing w:line="240" w:lineRule="exact"/>
              <w:ind w:left="2" w:leftChars="-7" w:hanging="25" w:hangingChars="10"/>
              <w:jc w:val="center"/>
              <w:rPr>
                <w:rFonts w:ascii="Times New Roman" w:hAnsi="Times New Roman" w:eastAsia="仿宋_GB2312" w:cs="Times New Roman"/>
                <w:sz w:val="24"/>
                <w:szCs w:val="24"/>
              </w:rPr>
            </w:pPr>
          </w:p>
        </w:tc>
      </w:tr>
      <w:tr>
        <w:tblPrEx>
          <w:tblCellMar>
            <w:top w:w="0" w:type="dxa"/>
            <w:left w:w="0" w:type="dxa"/>
            <w:bottom w:w="0" w:type="dxa"/>
            <w:right w:w="0" w:type="dxa"/>
          </w:tblCellMar>
        </w:tblPrEx>
        <w:trPr>
          <w:trHeight w:val="677" w:hRule="atLeast"/>
          <w:jc w:val="center"/>
        </w:trPr>
        <w:tc>
          <w:tcPr>
            <w:tcW w:w="842" w:type="dxa"/>
            <w:tcBorders>
              <w:top w:val="single" w:color="000000" w:sz="4" w:space="0"/>
              <w:left w:val="single" w:color="000000" w:sz="8"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5</w:t>
            </w:r>
          </w:p>
        </w:tc>
        <w:tc>
          <w:tcPr>
            <w:tcW w:w="340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Style w:val="25"/>
                <w:rFonts w:hint="default" w:ascii="Times New Roman" w:hAnsi="Times New Roman" w:eastAsia="仿宋_GB2312" w:cs="Times New Roman"/>
                <w:sz w:val="24"/>
                <w:szCs w:val="24"/>
                <w:lang w:bidi="ar"/>
              </w:rPr>
              <w:t>前</w:t>
            </w:r>
            <w:r>
              <w:rPr>
                <w:rStyle w:val="26"/>
                <w:rFonts w:ascii="Times New Roman" w:hAnsi="Times New Roman" w:eastAsia="仿宋_GB2312" w:cs="Times New Roman"/>
                <w:sz w:val="24"/>
                <w:szCs w:val="24"/>
                <w:lang w:bidi="ar"/>
              </w:rPr>
              <w:t>40</w:t>
            </w:r>
            <w:r>
              <w:rPr>
                <w:rStyle w:val="26"/>
                <w:rFonts w:hint="eastAsia" w:ascii="Times New Roman" w:hAnsi="Times New Roman" w:eastAsia="仿宋_GB2312" w:cs="Times New Roman"/>
                <w:sz w:val="24"/>
                <w:szCs w:val="24"/>
                <w:lang w:val="en-US" w:eastAsia="zh-CN" w:bidi="ar"/>
              </w:rPr>
              <w:t>%</w:t>
            </w:r>
            <w:r>
              <w:rPr>
                <w:rStyle w:val="26"/>
                <w:rFonts w:ascii="Times New Roman" w:hAnsi="Times New Roman" w:eastAsia="仿宋_GB2312" w:cs="Times New Roman"/>
                <w:sz w:val="24"/>
                <w:szCs w:val="24"/>
                <w:lang w:bidi="ar"/>
              </w:rPr>
              <w:t xml:space="preserve"> ~60%</w:t>
            </w:r>
            <w:r>
              <w:rPr>
                <w:rStyle w:val="25"/>
                <w:rFonts w:hint="default" w:ascii="Times New Roman" w:hAnsi="Times New Roman" w:eastAsia="仿宋_GB2312" w:cs="Times New Roman"/>
                <w:sz w:val="24"/>
                <w:szCs w:val="24"/>
                <w:lang w:bidi="ar"/>
              </w:rPr>
              <w:t>（含）</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2268" w:type="dxa"/>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1168" w:type="dxa"/>
            <w:tcBorders>
              <w:top w:val="single" w:color="000000" w:sz="4" w:space="0"/>
              <w:left w:val="single" w:color="000000" w:sz="4" w:space="0"/>
              <w:bottom w:val="single" w:color="000000" w:sz="4" w:space="0"/>
              <w:right w:val="single" w:color="000000" w:sz="8" w:space="0"/>
            </w:tcBorders>
            <w:shd w:val="clear" w:color="auto" w:fill="auto"/>
            <w:noWrap/>
            <w:tcMar>
              <w:top w:w="12" w:type="dxa"/>
              <w:left w:w="12" w:type="dxa"/>
              <w:right w:w="12" w:type="dxa"/>
            </w:tcMar>
            <w:vAlign w:val="center"/>
          </w:tcPr>
          <w:p>
            <w:pPr>
              <w:spacing w:line="240" w:lineRule="exact"/>
              <w:ind w:left="2" w:leftChars="-7" w:hanging="25" w:hangingChars="10"/>
              <w:jc w:val="center"/>
              <w:rPr>
                <w:rFonts w:ascii="Times New Roman" w:hAnsi="Times New Roman" w:eastAsia="仿宋_GB2312" w:cs="Times New Roman"/>
                <w:sz w:val="24"/>
                <w:szCs w:val="24"/>
              </w:rPr>
            </w:pPr>
          </w:p>
        </w:tc>
      </w:tr>
      <w:tr>
        <w:tblPrEx>
          <w:tblCellMar>
            <w:top w:w="0" w:type="dxa"/>
            <w:left w:w="0" w:type="dxa"/>
            <w:bottom w:w="0" w:type="dxa"/>
            <w:right w:w="0" w:type="dxa"/>
          </w:tblCellMar>
        </w:tblPrEx>
        <w:trPr>
          <w:trHeight w:val="687" w:hRule="atLeast"/>
          <w:jc w:val="center"/>
        </w:trPr>
        <w:tc>
          <w:tcPr>
            <w:tcW w:w="842" w:type="dxa"/>
            <w:tcBorders>
              <w:top w:val="single" w:color="000000" w:sz="4" w:space="0"/>
              <w:left w:val="single" w:color="000000" w:sz="8"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6</w:t>
            </w:r>
          </w:p>
        </w:tc>
        <w:tc>
          <w:tcPr>
            <w:tcW w:w="340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Style w:val="25"/>
                <w:rFonts w:hint="default" w:ascii="Times New Roman" w:hAnsi="Times New Roman" w:eastAsia="仿宋_GB2312" w:cs="Times New Roman"/>
                <w:sz w:val="24"/>
                <w:szCs w:val="24"/>
                <w:lang w:bidi="ar"/>
              </w:rPr>
              <w:t>前</w:t>
            </w:r>
            <w:r>
              <w:rPr>
                <w:rStyle w:val="26"/>
                <w:rFonts w:ascii="Times New Roman" w:hAnsi="Times New Roman" w:eastAsia="仿宋_GB2312" w:cs="Times New Roman"/>
                <w:sz w:val="24"/>
                <w:szCs w:val="24"/>
                <w:lang w:bidi="ar"/>
              </w:rPr>
              <w:t>60</w:t>
            </w:r>
            <w:r>
              <w:rPr>
                <w:rStyle w:val="26"/>
                <w:rFonts w:hint="eastAsia" w:ascii="Times New Roman" w:hAnsi="Times New Roman" w:eastAsia="仿宋_GB2312" w:cs="Times New Roman"/>
                <w:sz w:val="24"/>
                <w:szCs w:val="24"/>
                <w:lang w:val="en-US" w:eastAsia="zh-CN" w:bidi="ar"/>
              </w:rPr>
              <w:t>%</w:t>
            </w:r>
            <w:r>
              <w:rPr>
                <w:rStyle w:val="26"/>
                <w:rFonts w:ascii="Times New Roman" w:hAnsi="Times New Roman" w:eastAsia="仿宋_GB2312" w:cs="Times New Roman"/>
                <w:sz w:val="24"/>
                <w:szCs w:val="24"/>
                <w:lang w:bidi="ar"/>
              </w:rPr>
              <w:t xml:space="preserve"> ~ 80%</w:t>
            </w:r>
            <w:r>
              <w:rPr>
                <w:rStyle w:val="25"/>
                <w:rFonts w:hint="default" w:ascii="Times New Roman" w:hAnsi="Times New Roman" w:eastAsia="仿宋_GB2312" w:cs="Times New Roman"/>
                <w:sz w:val="24"/>
                <w:szCs w:val="24"/>
                <w:lang w:bidi="ar"/>
              </w:rPr>
              <w:t>（含）</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2268" w:type="dxa"/>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168" w:type="dxa"/>
            <w:tcBorders>
              <w:top w:val="single" w:color="000000" w:sz="4" w:space="0"/>
              <w:left w:val="single" w:color="000000" w:sz="4" w:space="0"/>
              <w:bottom w:val="single" w:color="000000" w:sz="4" w:space="0"/>
              <w:right w:val="single" w:color="000000" w:sz="8" w:space="0"/>
            </w:tcBorders>
            <w:shd w:val="clear" w:color="auto" w:fill="auto"/>
            <w:noWrap/>
            <w:tcMar>
              <w:top w:w="12" w:type="dxa"/>
              <w:left w:w="12" w:type="dxa"/>
              <w:right w:w="12" w:type="dxa"/>
            </w:tcMar>
            <w:vAlign w:val="center"/>
          </w:tcPr>
          <w:p>
            <w:pPr>
              <w:spacing w:line="240" w:lineRule="exact"/>
              <w:ind w:left="2" w:leftChars="-7" w:hanging="25" w:hangingChars="10"/>
              <w:jc w:val="center"/>
              <w:rPr>
                <w:rFonts w:ascii="Times New Roman" w:hAnsi="Times New Roman" w:eastAsia="仿宋_GB2312" w:cs="Times New Roman"/>
                <w:sz w:val="24"/>
                <w:szCs w:val="24"/>
              </w:rPr>
            </w:pPr>
          </w:p>
        </w:tc>
      </w:tr>
      <w:tr>
        <w:tblPrEx>
          <w:tblCellMar>
            <w:top w:w="0" w:type="dxa"/>
            <w:left w:w="0" w:type="dxa"/>
            <w:bottom w:w="0" w:type="dxa"/>
            <w:right w:w="0" w:type="dxa"/>
          </w:tblCellMar>
        </w:tblPrEx>
        <w:trPr>
          <w:trHeight w:val="683" w:hRule="atLeast"/>
          <w:jc w:val="center"/>
        </w:trPr>
        <w:tc>
          <w:tcPr>
            <w:tcW w:w="842" w:type="dxa"/>
            <w:tcBorders>
              <w:top w:val="single" w:color="000000" w:sz="4" w:space="0"/>
              <w:left w:val="single" w:color="000000" w:sz="8"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7</w:t>
            </w:r>
          </w:p>
        </w:tc>
        <w:tc>
          <w:tcPr>
            <w:tcW w:w="340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Style w:val="25"/>
                <w:rFonts w:hint="default" w:ascii="Times New Roman" w:hAnsi="Times New Roman" w:eastAsia="仿宋_GB2312" w:cs="Times New Roman"/>
                <w:sz w:val="24"/>
                <w:szCs w:val="24"/>
                <w:lang w:bidi="ar"/>
              </w:rPr>
              <w:t>前</w:t>
            </w:r>
            <w:r>
              <w:rPr>
                <w:rStyle w:val="26"/>
                <w:rFonts w:ascii="Times New Roman" w:hAnsi="Times New Roman" w:eastAsia="仿宋_GB2312" w:cs="Times New Roman"/>
                <w:sz w:val="24"/>
                <w:szCs w:val="24"/>
                <w:lang w:bidi="ar"/>
              </w:rPr>
              <w:t>80</w:t>
            </w:r>
            <w:r>
              <w:rPr>
                <w:rStyle w:val="26"/>
                <w:rFonts w:hint="eastAsia" w:ascii="Times New Roman" w:hAnsi="Times New Roman" w:eastAsia="仿宋_GB2312" w:cs="Times New Roman"/>
                <w:sz w:val="24"/>
                <w:szCs w:val="24"/>
                <w:lang w:val="en-US" w:eastAsia="zh-CN" w:bidi="ar"/>
              </w:rPr>
              <w:t>%</w:t>
            </w:r>
            <w:r>
              <w:rPr>
                <w:rStyle w:val="26"/>
                <w:rFonts w:ascii="Times New Roman" w:hAnsi="Times New Roman" w:eastAsia="仿宋_GB2312" w:cs="Times New Roman"/>
                <w:sz w:val="24"/>
                <w:szCs w:val="24"/>
                <w:lang w:bidi="ar"/>
              </w:rPr>
              <w:t>~ 100%</w:t>
            </w:r>
            <w:r>
              <w:rPr>
                <w:rStyle w:val="25"/>
                <w:rFonts w:hint="default" w:ascii="Times New Roman" w:hAnsi="Times New Roman" w:eastAsia="仿宋_GB2312" w:cs="Times New Roman"/>
                <w:sz w:val="24"/>
                <w:szCs w:val="24"/>
                <w:lang w:bidi="ar"/>
              </w:rPr>
              <w:t>（含）</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sz w:val="24"/>
                <w:szCs w:val="24"/>
              </w:rPr>
              <w:t>0.5</w:t>
            </w:r>
          </w:p>
        </w:tc>
        <w:tc>
          <w:tcPr>
            <w:tcW w:w="2268" w:type="dxa"/>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1168" w:type="dxa"/>
            <w:tcBorders>
              <w:top w:val="single" w:color="000000" w:sz="4" w:space="0"/>
              <w:left w:val="single" w:color="000000" w:sz="4" w:space="0"/>
              <w:bottom w:val="single" w:color="000000" w:sz="4" w:space="0"/>
              <w:right w:val="single" w:color="000000" w:sz="8" w:space="0"/>
            </w:tcBorders>
            <w:shd w:val="clear" w:color="auto" w:fill="auto"/>
            <w:noWrap/>
            <w:tcMar>
              <w:top w:w="12" w:type="dxa"/>
              <w:left w:w="12" w:type="dxa"/>
              <w:right w:w="12" w:type="dxa"/>
            </w:tcMar>
            <w:vAlign w:val="center"/>
          </w:tcPr>
          <w:p>
            <w:pPr>
              <w:spacing w:line="240" w:lineRule="exact"/>
              <w:ind w:left="2" w:leftChars="-7" w:hanging="25" w:hangingChars="10"/>
              <w:jc w:val="center"/>
              <w:rPr>
                <w:rFonts w:ascii="Times New Roman" w:hAnsi="Times New Roman" w:eastAsia="仿宋_GB2312" w:cs="Times New Roman"/>
                <w:sz w:val="24"/>
                <w:szCs w:val="24"/>
              </w:rPr>
            </w:pPr>
          </w:p>
        </w:tc>
      </w:tr>
      <w:tr>
        <w:tblPrEx>
          <w:tblCellMar>
            <w:top w:w="0" w:type="dxa"/>
            <w:left w:w="0" w:type="dxa"/>
            <w:bottom w:w="0" w:type="dxa"/>
            <w:right w:w="0" w:type="dxa"/>
          </w:tblCellMar>
        </w:tblPrEx>
        <w:trPr>
          <w:trHeight w:val="646" w:hRule="atLeast"/>
          <w:jc w:val="center"/>
        </w:trPr>
        <w:tc>
          <w:tcPr>
            <w:tcW w:w="842" w:type="dxa"/>
            <w:tcBorders>
              <w:top w:val="single" w:color="000000" w:sz="4" w:space="0"/>
              <w:left w:val="single" w:color="000000" w:sz="8" w:space="0"/>
              <w:bottom w:val="single" w:color="000000" w:sz="8"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8</w:t>
            </w:r>
          </w:p>
        </w:tc>
        <w:tc>
          <w:tcPr>
            <w:tcW w:w="3401" w:type="dxa"/>
            <w:tcBorders>
              <w:top w:val="single" w:color="000000" w:sz="4" w:space="0"/>
              <w:left w:val="single" w:color="000000" w:sz="4" w:space="0"/>
              <w:bottom w:val="single" w:color="000000" w:sz="8"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无收入</w:t>
            </w:r>
          </w:p>
        </w:tc>
        <w:tc>
          <w:tcPr>
            <w:tcW w:w="1559" w:type="dxa"/>
            <w:tcBorders>
              <w:top w:val="single" w:color="000000" w:sz="4" w:space="0"/>
              <w:left w:val="single" w:color="000000" w:sz="4" w:space="0"/>
              <w:bottom w:val="single" w:color="000000" w:sz="8"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0</w:t>
            </w:r>
          </w:p>
        </w:tc>
        <w:tc>
          <w:tcPr>
            <w:tcW w:w="2268" w:type="dxa"/>
            <w:tcBorders>
              <w:top w:val="single" w:color="000000" w:sz="4" w:space="0"/>
              <w:left w:val="single" w:color="000000" w:sz="4" w:space="0"/>
              <w:bottom w:val="single" w:color="000000" w:sz="8" w:space="0"/>
              <w:right w:val="single" w:color="000000" w:sz="4" w:space="0"/>
            </w:tcBorders>
            <w:shd w:val="clear" w:color="auto" w:fill="auto"/>
            <w:noWrap/>
            <w:tcMar>
              <w:top w:w="12" w:type="dxa"/>
              <w:left w:w="12" w:type="dxa"/>
              <w:right w:w="12" w:type="dxa"/>
            </w:tcMar>
            <w:vAlign w:val="center"/>
          </w:tcPr>
          <w:p>
            <w:pPr>
              <w:widowControl/>
              <w:spacing w:line="240" w:lineRule="exact"/>
              <w:ind w:left="2" w:leftChars="-7" w:hanging="25" w:hangingChars="10"/>
              <w:jc w:val="center"/>
              <w:textAlignment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0</w:t>
            </w:r>
          </w:p>
        </w:tc>
        <w:tc>
          <w:tcPr>
            <w:tcW w:w="1168" w:type="dxa"/>
            <w:tcBorders>
              <w:top w:val="single" w:color="000000" w:sz="4" w:space="0"/>
              <w:left w:val="single" w:color="000000" w:sz="4" w:space="0"/>
              <w:bottom w:val="single" w:color="000000" w:sz="8" w:space="0"/>
              <w:right w:val="single" w:color="000000" w:sz="8" w:space="0"/>
            </w:tcBorders>
            <w:shd w:val="clear" w:color="auto" w:fill="auto"/>
            <w:noWrap/>
            <w:tcMar>
              <w:top w:w="12" w:type="dxa"/>
              <w:left w:w="12" w:type="dxa"/>
              <w:right w:w="12" w:type="dxa"/>
            </w:tcMar>
            <w:vAlign w:val="center"/>
          </w:tcPr>
          <w:p>
            <w:pPr>
              <w:spacing w:line="240" w:lineRule="exact"/>
              <w:ind w:left="2" w:leftChars="-7" w:hanging="25" w:hangingChars="10"/>
              <w:jc w:val="center"/>
              <w:rPr>
                <w:rFonts w:ascii="Times New Roman" w:hAnsi="Times New Roman" w:eastAsia="仿宋_GB2312" w:cs="Times New Roman"/>
                <w:sz w:val="24"/>
                <w:szCs w:val="24"/>
              </w:rPr>
            </w:pPr>
          </w:p>
        </w:tc>
      </w:tr>
    </w:tbl>
    <w:p>
      <w:pPr>
        <w:widowControl/>
        <w:spacing w:line="400" w:lineRule="exact"/>
        <w:ind w:left="253" w:leftChars="-196" w:hanging="909" w:hangingChars="357"/>
        <w:jc w:val="left"/>
        <w:textAlignment w:val="center"/>
        <w:rPr>
          <w:rFonts w:ascii="Times New Roman" w:hAnsi="Times New Roman" w:eastAsia="仿宋_GB2312" w:cs="Times New Roman"/>
          <w:kern w:val="0"/>
          <w:sz w:val="24"/>
          <w:szCs w:val="24"/>
          <w:lang w:bidi="ar"/>
        </w:rPr>
      </w:pPr>
      <w:r>
        <w:rPr>
          <w:rFonts w:hint="eastAsia" w:ascii="Times New Roman" w:hAnsi="Times New Roman" w:eastAsia="仿宋_GB2312" w:cs="Times New Roman"/>
          <w:kern w:val="0"/>
          <w:sz w:val="24"/>
          <w:szCs w:val="24"/>
          <w:lang w:bidi="ar"/>
        </w:rPr>
        <w:t>注：1、工程造价咨询企业营业收入及造价咨询业务收入均从工程造价咨询统计</w:t>
      </w:r>
      <w:r>
        <w:rPr>
          <w:rFonts w:hint="eastAsia" w:ascii="Times New Roman" w:hAnsi="Times New Roman" w:eastAsia="仿宋_GB2312" w:cs="Times New Roman"/>
          <w:kern w:val="0"/>
          <w:sz w:val="24"/>
          <w:szCs w:val="24"/>
          <w:lang w:val="en-US" w:eastAsia="zh-CN" w:bidi="ar"/>
        </w:rPr>
        <w:t>调查</w:t>
      </w:r>
      <w:r>
        <w:rPr>
          <w:rFonts w:hint="eastAsia" w:ascii="Times New Roman" w:hAnsi="Times New Roman" w:eastAsia="仿宋_GB2312" w:cs="Times New Roman"/>
          <w:kern w:val="0"/>
          <w:sz w:val="24"/>
          <w:szCs w:val="24"/>
          <w:lang w:bidi="ar"/>
        </w:rPr>
        <w:t>系统导入；</w:t>
      </w:r>
    </w:p>
    <w:p>
      <w:pPr>
        <w:widowControl/>
        <w:spacing w:line="400" w:lineRule="exact"/>
        <w:ind w:left="243" w:leftChars="-46" w:hanging="397" w:hangingChars="156"/>
        <w:jc w:val="left"/>
        <w:textAlignment w:val="center"/>
        <w:rPr>
          <w:rFonts w:ascii="Times New Roman" w:hAnsi="Times New Roman" w:eastAsia="仿宋_GB2312" w:cs="Times New Roman"/>
          <w:kern w:val="0"/>
          <w:sz w:val="24"/>
          <w:szCs w:val="24"/>
          <w:lang w:bidi="ar"/>
        </w:rPr>
      </w:pPr>
      <w:r>
        <w:rPr>
          <w:rFonts w:hint="eastAsia" w:ascii="Times New Roman" w:hAnsi="Times New Roman" w:eastAsia="仿宋_GB2312" w:cs="Times New Roman"/>
          <w:kern w:val="0"/>
          <w:sz w:val="24"/>
          <w:szCs w:val="24"/>
          <w:lang w:bidi="ar"/>
        </w:rPr>
        <w:t>2、营业收入分值对应营业收入排名，造价咨询业务收入分值对应造价咨询收入排名；</w:t>
      </w:r>
    </w:p>
    <w:p>
      <w:pPr>
        <w:widowControl/>
        <w:spacing w:line="400" w:lineRule="exact"/>
        <w:ind w:left="243" w:leftChars="-46" w:hanging="397" w:hangingChars="156"/>
        <w:jc w:val="left"/>
        <w:textAlignment w:val="center"/>
        <w:rPr>
          <w:rFonts w:ascii="Times New Roman" w:hAnsi="Times New Roman" w:eastAsia="仿宋_GB2312" w:cs="Times New Roman"/>
          <w:kern w:val="0"/>
          <w:sz w:val="24"/>
          <w:szCs w:val="24"/>
          <w:lang w:bidi="ar"/>
        </w:rPr>
      </w:pPr>
      <w:r>
        <w:rPr>
          <w:rFonts w:hint="eastAsia" w:ascii="Times New Roman" w:hAnsi="Times New Roman" w:eastAsia="仿宋_GB2312" w:cs="Times New Roman"/>
          <w:kern w:val="0"/>
          <w:sz w:val="24"/>
          <w:szCs w:val="24"/>
          <w:lang w:bidi="ar"/>
        </w:rPr>
        <w:t>3、收入排名按企业在注册所在地（省、市、自治区）进行排名，各行业按所属行业进行排名。</w:t>
      </w:r>
      <w:r>
        <w:rPr>
          <w:rFonts w:hint="eastAsia" w:ascii="Times New Roman" w:hAnsi="Times New Roman" w:eastAsia="仿宋_GB2312" w:cs="Times New Roman"/>
          <w:kern w:val="0"/>
          <w:sz w:val="24"/>
          <w:szCs w:val="24"/>
          <w:lang w:bidi="ar"/>
        </w:rPr>
        <w:tab/>
      </w:r>
      <w:r>
        <w:rPr>
          <w:rFonts w:hint="eastAsia" w:ascii="Times New Roman" w:hAnsi="Times New Roman" w:eastAsia="仿宋_GB2312" w:cs="Times New Roman"/>
          <w:kern w:val="0"/>
          <w:sz w:val="24"/>
          <w:szCs w:val="24"/>
          <w:lang w:bidi="ar"/>
        </w:rPr>
        <w:tab/>
      </w:r>
      <w:r>
        <w:rPr>
          <w:rFonts w:hint="eastAsia" w:ascii="Times New Roman" w:hAnsi="Times New Roman" w:eastAsia="仿宋_GB2312" w:cs="Times New Roman"/>
          <w:kern w:val="0"/>
          <w:sz w:val="24"/>
          <w:szCs w:val="24"/>
          <w:lang w:bidi="ar"/>
        </w:rPr>
        <w:tab/>
      </w:r>
      <w:r>
        <w:rPr>
          <w:rFonts w:hint="eastAsia" w:ascii="Times New Roman" w:hAnsi="Times New Roman" w:eastAsia="仿宋_GB2312" w:cs="Times New Roman"/>
          <w:kern w:val="0"/>
          <w:sz w:val="24"/>
          <w:szCs w:val="24"/>
          <w:lang w:bidi="ar"/>
        </w:rPr>
        <w:tab/>
      </w:r>
    </w:p>
    <w:p>
      <w:pPr>
        <w:widowControl/>
        <w:ind w:firstLine="671"/>
        <w:jc w:val="left"/>
        <w:rPr>
          <w:rFonts w:ascii="仿宋" w:hAnsi="仿宋"/>
          <w:position w:val="-6"/>
          <w:szCs w:val="32"/>
        </w:rPr>
      </w:pPr>
      <w:r>
        <w:rPr>
          <w:rFonts w:ascii="仿宋" w:hAnsi="仿宋"/>
          <w:position w:val="-6"/>
          <w:szCs w:val="32"/>
        </w:rPr>
        <w:br w:type="page"/>
      </w:r>
    </w:p>
    <w:p>
      <w:pPr>
        <w:widowControl/>
        <w:spacing w:line="400" w:lineRule="exact"/>
        <w:ind w:firstLine="671"/>
        <w:jc w:val="left"/>
        <w:textAlignment w:val="center"/>
        <w:rPr>
          <w:rFonts w:ascii="仿宋" w:hAnsi="仿宋"/>
          <w:color w:val="000000" w:themeColor="text1"/>
          <w:position w:val="-6"/>
          <w:szCs w:val="32"/>
          <w14:textFill>
            <w14:solidFill>
              <w14:schemeClr w14:val="tx1"/>
            </w14:solidFill>
          </w14:textFill>
        </w:rPr>
        <w:sectPr>
          <w:pgSz w:w="11906" w:h="16838"/>
          <w:pgMar w:top="1701" w:right="1984" w:bottom="1701" w:left="2211" w:header="0" w:footer="1417" w:gutter="0"/>
          <w:cols w:space="0" w:num="1"/>
          <w:docGrid w:type="linesAndChars" w:linePitch="607" w:charSpace="3125"/>
        </w:sectPr>
      </w:pPr>
    </w:p>
    <w:p>
      <w:pPr>
        <w:spacing w:line="578" w:lineRule="exact"/>
        <w:ind w:left="-1001" w:leftChars="-299" w:firstLine="341" w:firstLineChars="102"/>
        <w:rPr>
          <w:rFonts w:ascii="黑体" w:hAnsi="黑体" w:eastAsia="黑体" w:cs="黑体"/>
          <w:color w:val="000000" w:themeColor="text1"/>
          <w:position w:val="-6"/>
          <w:szCs w:val="32"/>
          <w14:textFill>
            <w14:solidFill>
              <w14:schemeClr w14:val="tx1"/>
            </w14:solidFill>
          </w14:textFill>
        </w:rPr>
      </w:pPr>
      <w:r>
        <w:rPr>
          <w:rFonts w:hint="eastAsia" w:ascii="黑体" w:hAnsi="黑体" w:eastAsia="黑体" w:cs="黑体"/>
          <w:color w:val="000000" w:themeColor="text1"/>
          <w:position w:val="-6"/>
          <w:szCs w:val="32"/>
          <w14:textFill>
            <w14:solidFill>
              <w14:schemeClr w14:val="tx1"/>
            </w14:solidFill>
          </w14:textFill>
        </w:rPr>
        <w:t>附件3：</w:t>
      </w:r>
    </w:p>
    <w:p>
      <w:pPr>
        <w:spacing w:after="303" w:afterLines="50" w:line="578" w:lineRule="exact"/>
        <w:ind w:firstLine="751"/>
        <w:jc w:val="center"/>
        <w:rPr>
          <w:rFonts w:ascii="方正小标宋简体" w:hAnsi="方正小标宋简体" w:eastAsia="方正小标宋简体" w:cs="方正小标宋简体"/>
          <w:color w:val="000000" w:themeColor="text1"/>
          <w:position w:val="-6"/>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position w:val="-6"/>
          <w:sz w:val="36"/>
          <w:szCs w:val="36"/>
          <w14:textFill>
            <w14:solidFill>
              <w14:schemeClr w14:val="tx1"/>
            </w14:solidFill>
          </w14:textFill>
        </w:rPr>
        <w:t>工程造价咨询企业良好行为加分表</w:t>
      </w:r>
    </w:p>
    <w:tbl>
      <w:tblPr>
        <w:tblStyle w:val="9"/>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46"/>
        <w:gridCol w:w="11631"/>
        <w:gridCol w:w="694"/>
        <w:gridCol w:w="679"/>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blHeader/>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b/>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kern w:val="0"/>
                <w:sz w:val="24"/>
                <w:szCs w:val="24"/>
                <w:lang w:bidi="ar"/>
                <w14:textFill>
                  <w14:solidFill>
                    <w14:schemeClr w14:val="tx1"/>
                  </w14:solidFill>
                </w14:textFill>
              </w:rPr>
              <w:t>序号</w:t>
            </w:r>
          </w:p>
        </w:tc>
        <w:tc>
          <w:tcPr>
            <w:tcW w:w="11631"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b/>
                <w:color w:val="000000" w:themeColor="text1"/>
                <w:sz w:val="24"/>
                <w:szCs w:val="24"/>
                <w14:textFill>
                  <w14:solidFill>
                    <w14:schemeClr w14:val="tx1"/>
                  </w14:solidFill>
                </w14:textFill>
              </w:rPr>
            </w:pPr>
            <w:r>
              <w:rPr>
                <w:rStyle w:val="27"/>
                <w:rFonts w:hint="default" w:ascii="Times New Roman" w:hAnsi="Times New Roman" w:eastAsia="仿宋_GB2312" w:cs="Times New Roman"/>
                <w:color w:val="000000" w:themeColor="text1"/>
                <w:sz w:val="24"/>
                <w:szCs w:val="24"/>
                <w:lang w:bidi="ar"/>
                <w14:textFill>
                  <w14:solidFill>
                    <w14:schemeClr w14:val="tx1"/>
                  </w14:solidFill>
                </w14:textFill>
              </w:rPr>
              <w:t>良好行为加分项内容</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b/>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kern w:val="0"/>
                <w:sz w:val="24"/>
                <w:szCs w:val="24"/>
                <w:lang w:bidi="ar"/>
                <w14:textFill>
                  <w14:solidFill>
                    <w14:schemeClr w14:val="tx1"/>
                  </w14:solidFill>
                </w14:textFill>
              </w:rPr>
              <w:t>加分  限额</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b/>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kern w:val="0"/>
                <w:sz w:val="24"/>
                <w:szCs w:val="24"/>
                <w:lang w:bidi="ar"/>
                <w14:textFill>
                  <w14:solidFill>
                    <w14:schemeClr w14:val="tx1"/>
                  </w14:solidFill>
                </w14:textFill>
              </w:rPr>
              <w:t>得分</w:t>
            </w:r>
          </w:p>
        </w:tc>
        <w:tc>
          <w:tcPr>
            <w:tcW w:w="990" w:type="dxa"/>
            <w:shd w:val="clear" w:color="auto" w:fill="auto"/>
            <w:tcMar>
              <w:top w:w="12" w:type="dxa"/>
              <w:left w:w="12" w:type="dxa"/>
              <w:right w:w="12" w:type="dxa"/>
            </w:tcMar>
            <w:vAlign w:val="center"/>
          </w:tcPr>
          <w:p>
            <w:pPr>
              <w:widowControl/>
              <w:spacing w:line="360" w:lineRule="exact"/>
              <w:ind w:leftChars="-3" w:hanging="9" w:hangingChars="4"/>
              <w:jc w:val="center"/>
              <w:textAlignment w:val="center"/>
              <w:rPr>
                <w:rFonts w:ascii="Times New Roman" w:hAnsi="Times New Roman" w:eastAsia="仿宋_GB2312" w:cs="Times New Roman"/>
                <w:b/>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kern w:val="0"/>
                <w:sz w:val="24"/>
                <w:szCs w:val="24"/>
                <w:lang w:bidi="ar"/>
                <w14:textFill>
                  <w14:solidFill>
                    <w14:schemeClr w14:val="tx1"/>
                  </w14:solidFill>
                </w14:textFill>
              </w:rPr>
              <w:t>合计加分限额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1.1</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企业在造价咨询活动中获得市级及以上人民政府的表彰、表扬或奖励，每获国家级加2分/项，每获省（直辖市）级加1.5分/项，每获市级加1分/项</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3</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restart"/>
            <w:shd w:val="clear" w:color="auto" w:fill="auto"/>
            <w:tcMar>
              <w:top w:w="12" w:type="dxa"/>
              <w:left w:w="12" w:type="dxa"/>
              <w:right w:w="12" w:type="dxa"/>
            </w:tcMar>
            <w:vAlign w:val="center"/>
          </w:tcPr>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10</w:t>
            </w: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p>
          <w:p>
            <w:pPr>
              <w:widowControl/>
              <w:spacing w:line="360" w:lineRule="exact"/>
              <w:ind w:leftChars="-3" w:hanging="9" w:hangingChars="4"/>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1.2</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企业在造价咨询活动中获得市级以上建设行政主管部门、行业管理机构或行业协会的表彰、表扬或奖励,每获国家级加1分/项，每获省（直辖市）级加0.8分/项，每获市级加0.5分/项；获得市级以上审计、财政、发改等政府部门的表彰或奖励,获省级及以上的加0.5分/项，获市级的加0.3分/项，获得委托方奖励的加0.5分/项</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4</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1</w:t>
            </w:r>
            <w:r>
              <w:rPr>
                <w:rFonts w:ascii="Times New Roman" w:hAnsi="Times New Roman" w:eastAsia="仿宋_GB2312" w:cs="Times New Roman"/>
                <w:color w:val="000000" w:themeColor="text1"/>
                <w:kern w:val="0"/>
                <w:sz w:val="24"/>
                <w:szCs w:val="24"/>
                <w:lang w:bidi="ar"/>
                <w14:textFill>
                  <w14:solidFill>
                    <w14:schemeClr w14:val="tx1"/>
                  </w14:solidFill>
                </w14:textFill>
              </w:rPr>
              <w:t>.3</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ascii="Times New Roman" w:hAnsi="Times New Roman" w:eastAsia="仿宋_GB2312" w:cs="Times New Roman"/>
                <w:kern w:val="0"/>
                <w:sz w:val="24"/>
                <w:szCs w:val="24"/>
                <w:lang w:bidi="ar"/>
              </w:rPr>
              <w:t>企业有</w:t>
            </w:r>
            <w:r>
              <w:rPr>
                <w:rFonts w:hint="eastAsia" w:ascii="Times New Roman" w:hAnsi="Times New Roman" w:eastAsia="仿宋_GB2312" w:cs="Times New Roman"/>
                <w:kern w:val="0"/>
                <w:sz w:val="24"/>
                <w:szCs w:val="24"/>
                <w:lang w:bidi="ar"/>
              </w:rPr>
              <w:t>中价协个人会员</w:t>
            </w:r>
            <w:r>
              <w:rPr>
                <w:rFonts w:ascii="Times New Roman" w:hAnsi="Times New Roman" w:eastAsia="仿宋_GB2312" w:cs="Times New Roman"/>
                <w:kern w:val="0"/>
                <w:sz w:val="24"/>
                <w:szCs w:val="24"/>
                <w:lang w:bidi="ar"/>
              </w:rPr>
              <w:t>0.2分/人</w:t>
            </w:r>
            <w:r>
              <w:rPr>
                <w:rFonts w:hint="eastAsia" w:ascii="Times New Roman" w:hAnsi="Times New Roman" w:eastAsia="仿宋_GB2312" w:cs="Times New Roman"/>
                <w:kern w:val="0"/>
                <w:sz w:val="24"/>
                <w:szCs w:val="24"/>
                <w:lang w:bidi="ar"/>
              </w:rPr>
              <w:t>；</w:t>
            </w:r>
            <w:r>
              <w:rPr>
                <w:rFonts w:ascii="Times New Roman" w:hAnsi="Times New Roman" w:eastAsia="仿宋_GB2312" w:cs="Times New Roman"/>
                <w:color w:val="000000" w:themeColor="text1"/>
                <w:kern w:val="0"/>
                <w:sz w:val="24"/>
                <w:szCs w:val="24"/>
                <w:lang w:bidi="ar"/>
                <w14:textFill>
                  <w14:solidFill>
                    <w14:schemeClr w14:val="tx1"/>
                  </w14:solidFill>
                </w14:textFill>
              </w:rPr>
              <w:t>企业有中价协资深会员0.5分/人</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ascii="Times New Roman" w:hAnsi="Times New Roman" w:eastAsia="仿宋_GB2312" w:cs="Times New Roman"/>
                <w:kern w:val="0"/>
                <w:sz w:val="24"/>
                <w:szCs w:val="24"/>
                <w:lang w:bidi="ar"/>
              </w:rPr>
              <w:t>4</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1.4</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企业有造价行业专家，如中价协专家委员会成员，省造价协会专家委员会成员，省建设厅、财政局评标专家等。中价协0.5分/人，省（直辖市）级0.3分/人，市级0.2分/人</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3</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1.5</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企业在参加造价行业组织的专业技能类竞赛中获奖，每获国家级加2分/项，每获省（直辖市）级加1.5分/项，每获市级加1分/项；员工获奖按相应级别减半加分</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3</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1.6</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企业在参加造价行业协会组织的文体活动竞赛等各类活动中获奖，每获国家级加1分/项，每获省（直辖市）级加0.8分/项，每获市级加0.5分/项</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4</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1.7</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发表与工程造价相关论文、案例，国家级（国际）刊物加1分/项，省（直辖市）级刊物加0.5分/项，市级刊物加0.3分/项                                                                                 获得行业优秀论文、典型案例的加0.5分/项</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3</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1.8</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参与市级以上行业管理机构组织的计价依据的修编（或补充定额的编制）、教材修编、试卷命题等，加1分/人；</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3</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1.9</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参与造价相关的课题研究及规范、标准编制，系主编的，住建部标准定额司或中价协加1分/人，省（直辖市）级加0.8分/人，市级0.5分/人，系参编的，按主编标准减半加分</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4</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1.10 </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参加造价行业组织的检查、评审、阅卷等，加0.5分/人次</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4</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1.11</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提供在校学生、应届大学生等实习、实训机会的加0.1分/人；与高等院校或职业学院达成校企联合实训基地的加1分</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2</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1.12</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参与救灾、捐款、物资捐赠、助教、助残、扶贫等慈善公益活动，加0.5分/次                                                 </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2</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6" w:type="dxa"/>
            <w:shd w:val="clear" w:color="auto" w:fill="auto"/>
            <w:noWrap/>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1.13</w:t>
            </w:r>
          </w:p>
        </w:tc>
        <w:tc>
          <w:tcPr>
            <w:tcW w:w="11631" w:type="dxa"/>
            <w:shd w:val="clear" w:color="auto" w:fill="auto"/>
            <w:tcMar>
              <w:top w:w="12" w:type="dxa"/>
              <w:left w:w="12" w:type="dxa"/>
              <w:right w:w="12" w:type="dxa"/>
            </w:tcMar>
            <w:vAlign w:val="center"/>
          </w:tcPr>
          <w:p>
            <w:pPr>
              <w:widowControl/>
              <w:spacing w:line="36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企业投保</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工程造价咨询企业</w:t>
            </w:r>
            <w:r>
              <w:rPr>
                <w:rFonts w:ascii="Times New Roman" w:hAnsi="Times New Roman" w:eastAsia="仿宋_GB2312" w:cs="Times New Roman"/>
                <w:color w:val="000000" w:themeColor="text1"/>
                <w:kern w:val="0"/>
                <w:sz w:val="24"/>
                <w:szCs w:val="24"/>
                <w:lang w:bidi="ar"/>
                <w14:textFill>
                  <w14:solidFill>
                    <w14:schemeClr w14:val="tx1"/>
                  </w14:solidFill>
                </w14:textFill>
              </w:rPr>
              <w:t>职业</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责任</w:t>
            </w:r>
            <w:r>
              <w:rPr>
                <w:rFonts w:ascii="Times New Roman" w:hAnsi="Times New Roman" w:eastAsia="仿宋_GB2312" w:cs="Times New Roman"/>
                <w:color w:val="000000" w:themeColor="text1"/>
                <w:kern w:val="0"/>
                <w:sz w:val="24"/>
                <w:szCs w:val="24"/>
                <w:lang w:bidi="ar"/>
                <w14:textFill>
                  <w14:solidFill>
                    <w14:schemeClr w14:val="tx1"/>
                  </w14:solidFill>
                </w14:textFill>
              </w:rPr>
              <w:t>保险的加4分</w:t>
            </w:r>
          </w:p>
        </w:tc>
        <w:tc>
          <w:tcPr>
            <w:tcW w:w="694" w:type="dxa"/>
            <w:shd w:val="clear" w:color="auto" w:fill="auto"/>
            <w:tcMar>
              <w:top w:w="12" w:type="dxa"/>
              <w:left w:w="12" w:type="dxa"/>
              <w:right w:w="12" w:type="dxa"/>
            </w:tcMar>
            <w:vAlign w:val="center"/>
          </w:tcPr>
          <w:p>
            <w:pPr>
              <w:widowControl/>
              <w:spacing w:line="36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4</w:t>
            </w:r>
          </w:p>
        </w:tc>
        <w:tc>
          <w:tcPr>
            <w:tcW w:w="679" w:type="dxa"/>
            <w:shd w:val="clear" w:color="auto" w:fill="auto"/>
            <w:tcMar>
              <w:top w:w="12" w:type="dxa"/>
              <w:left w:w="12" w:type="dxa"/>
              <w:right w:w="12" w:type="dxa"/>
            </w:tcMar>
            <w:vAlign w:val="center"/>
          </w:tcPr>
          <w:p>
            <w:pPr>
              <w:widowControl/>
              <w:spacing w:line="36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990" w:type="dxa"/>
            <w:vMerge w:val="continue"/>
            <w:shd w:val="clear" w:color="auto" w:fill="auto"/>
            <w:tcMar>
              <w:top w:w="12" w:type="dxa"/>
              <w:left w:w="12" w:type="dxa"/>
              <w:right w:w="12" w:type="dxa"/>
            </w:tcMar>
            <w:vAlign w:val="center"/>
          </w:tcPr>
          <w:p>
            <w:pPr>
              <w:widowControl/>
              <w:spacing w:line="360" w:lineRule="exact"/>
              <w:ind w:firstLine="511"/>
              <w:jc w:val="center"/>
              <w:rPr>
                <w:rFonts w:ascii="Times New Roman" w:hAnsi="Times New Roman" w:eastAsia="仿宋_GB2312" w:cs="Times New Roman"/>
                <w:color w:val="000000" w:themeColor="text1"/>
                <w:sz w:val="24"/>
                <w:szCs w:val="24"/>
                <w14:textFill>
                  <w14:solidFill>
                    <w14:schemeClr w14:val="tx1"/>
                  </w14:solidFill>
                </w14:textFill>
              </w:rPr>
            </w:pPr>
          </w:p>
        </w:tc>
      </w:tr>
    </w:tbl>
    <w:p>
      <w:pPr>
        <w:widowControl/>
        <w:spacing w:line="400" w:lineRule="exact"/>
        <w:ind w:left="1" w:leftChars="-196" w:hanging="657" w:hangingChars="258"/>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注：1、企业填报相关信息，准备相关材料备查，接受社会监督；</w:t>
      </w: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ab/>
      </w:r>
    </w:p>
    <w:p>
      <w:pPr>
        <w:widowControl/>
        <w:spacing w:line="400" w:lineRule="exact"/>
        <w:ind w:left="-10" w:leftChars="-46" w:hanging="144" w:hangingChars="57"/>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2、同一项良好行为不得重复计分。</w:t>
      </w: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ab/>
      </w:r>
    </w:p>
    <w:p>
      <w:pPr>
        <w:ind w:firstLine="511"/>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br w:type="page"/>
      </w:r>
    </w:p>
    <w:p>
      <w:pPr>
        <w:widowControl/>
        <w:spacing w:line="400" w:lineRule="exact"/>
        <w:ind w:leftChars="-196" w:hanging="656" w:hangingChars="196"/>
        <w:jc w:val="left"/>
        <w:textAlignment w:val="center"/>
        <w:rPr>
          <w:rFonts w:ascii="黑体" w:hAnsi="黑体" w:eastAsia="黑体" w:cs="黑体"/>
          <w:color w:val="000000" w:themeColor="text1"/>
          <w:kern w:val="0"/>
          <w:sz w:val="24"/>
          <w:szCs w:val="24"/>
          <w:lang w:bidi="ar"/>
          <w14:textFill>
            <w14:solidFill>
              <w14:schemeClr w14:val="tx1"/>
            </w14:solidFill>
          </w14:textFill>
        </w:rPr>
      </w:pPr>
      <w:r>
        <w:rPr>
          <w:rFonts w:hint="eastAsia" w:ascii="黑体" w:hAnsi="黑体" w:eastAsia="黑体" w:cs="黑体"/>
          <w:color w:val="000000" w:themeColor="text1"/>
          <w:position w:val="-6"/>
          <w:szCs w:val="32"/>
          <w14:textFill>
            <w14:solidFill>
              <w14:schemeClr w14:val="tx1"/>
            </w14:solidFill>
          </w14:textFill>
        </w:rPr>
        <w:t>附件4：</w:t>
      </w:r>
    </w:p>
    <w:p>
      <w:pPr>
        <w:spacing w:after="303" w:afterLines="50" w:line="578" w:lineRule="exact"/>
        <w:ind w:firstLine="751"/>
        <w:jc w:val="center"/>
        <w:rPr>
          <w:rFonts w:ascii="方正小标宋简体" w:hAnsi="方正小标宋简体" w:eastAsia="方正小标宋简体" w:cs="方正小标宋简体"/>
          <w:color w:val="000000" w:themeColor="text1"/>
          <w:position w:val="-6"/>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position w:val="-6"/>
          <w:sz w:val="36"/>
          <w:szCs w:val="36"/>
          <w14:textFill>
            <w14:solidFill>
              <w14:schemeClr w14:val="tx1"/>
            </w14:solidFill>
          </w14:textFill>
        </w:rPr>
        <w:t>工程造价咨询企业不良行为扣分表</w:t>
      </w:r>
    </w:p>
    <w:tbl>
      <w:tblPr>
        <w:tblStyle w:val="9"/>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8"/>
        <w:gridCol w:w="9670"/>
        <w:gridCol w:w="1989"/>
        <w:gridCol w:w="1161"/>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blHeader/>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b/>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kern w:val="0"/>
                <w:sz w:val="24"/>
                <w:szCs w:val="24"/>
                <w:lang w:bidi="ar"/>
                <w14:textFill>
                  <w14:solidFill>
                    <w14:schemeClr w14:val="tx1"/>
                  </w14:solidFill>
                </w14:textFill>
              </w:rPr>
              <w:t>序号</w:t>
            </w:r>
          </w:p>
        </w:tc>
        <w:tc>
          <w:tcPr>
            <w:tcW w:w="9670"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b/>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kern w:val="0"/>
                <w:sz w:val="24"/>
                <w:szCs w:val="24"/>
                <w:lang w:bidi="ar"/>
                <w14:textFill>
                  <w14:solidFill>
                    <w14:schemeClr w14:val="tx1"/>
                  </w14:solidFill>
                </w14:textFill>
              </w:rPr>
              <w:t>不良行为扣分项内容</w:t>
            </w:r>
          </w:p>
        </w:tc>
        <w:tc>
          <w:tcPr>
            <w:tcW w:w="1989"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b/>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kern w:val="0"/>
                <w:sz w:val="24"/>
                <w:szCs w:val="24"/>
                <w:lang w:bidi="ar"/>
                <w14:textFill>
                  <w14:solidFill>
                    <w14:schemeClr w14:val="tx1"/>
                  </w14:solidFill>
                </w14:textFill>
              </w:rPr>
              <w:t>说明</w:t>
            </w: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b/>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kern w:val="0"/>
                <w:sz w:val="24"/>
                <w:szCs w:val="24"/>
                <w:lang w:bidi="ar"/>
                <w14:textFill>
                  <w14:solidFill>
                    <w14:schemeClr w14:val="tx1"/>
                  </w14:solidFill>
                </w14:textFill>
              </w:rPr>
              <w:t>每次扣分</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b/>
                <w:color w:val="000000" w:themeColor="text1"/>
                <w:sz w:val="24"/>
                <w:szCs w:val="24"/>
                <w14:textFill>
                  <w14:solidFill>
                    <w14:schemeClr w14:val="tx1"/>
                  </w14:solidFill>
                </w14:textFill>
              </w:rPr>
            </w:pPr>
            <w:r>
              <w:rPr>
                <w:rFonts w:ascii="Times New Roman" w:hAnsi="Times New Roman" w:eastAsia="仿宋_GB2312" w:cs="Times New Roman"/>
                <w:b/>
                <w:color w:val="000000" w:themeColor="text1"/>
                <w:kern w:val="0"/>
                <w:sz w:val="24"/>
                <w:szCs w:val="24"/>
                <w:lang w:bidi="ar"/>
                <w14:textFill>
                  <w14:solidFill>
                    <w14:schemeClr w14:val="tx1"/>
                  </w14:solidFill>
                </w14:textFill>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4740" w:type="dxa"/>
            <w:gridSpan w:val="5"/>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1.1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企业法定代表人、技术负责人因本企业职务行为受到刑事处罚或严重的行政处罚</w:t>
            </w:r>
          </w:p>
        </w:tc>
        <w:tc>
          <w:tcPr>
            <w:tcW w:w="1989" w:type="dxa"/>
            <w:vMerge w:val="restart"/>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1、企业如发生此类不良行为的，信用级别直接降为最低级；</w:t>
            </w:r>
            <w:r>
              <w:rPr>
                <w:rFonts w:ascii="Times New Roman" w:hAnsi="Times New Roman" w:eastAsia="仿宋_GB2312" w:cs="Times New Roman"/>
                <w:color w:val="000000" w:themeColor="text1"/>
                <w:kern w:val="0"/>
                <w:sz w:val="24"/>
                <w:szCs w:val="24"/>
                <w:lang w:bidi="ar"/>
                <w14:textFill>
                  <w14:solidFill>
                    <w14:schemeClr w14:val="tx1"/>
                  </w14:solidFill>
                </w14:textFill>
              </w:rPr>
              <w:br w:type="textWrapping"/>
            </w:r>
            <w:r>
              <w:rPr>
                <w:rFonts w:ascii="Times New Roman" w:hAnsi="Times New Roman" w:eastAsia="仿宋_GB2312" w:cs="Times New Roman"/>
                <w:color w:val="000000" w:themeColor="text1"/>
                <w:kern w:val="0"/>
                <w:sz w:val="24"/>
                <w:szCs w:val="24"/>
                <w:lang w:bidi="ar"/>
                <w14:textFill>
                  <w14:solidFill>
                    <w14:schemeClr w14:val="tx1"/>
                  </w14:solidFill>
                </w14:textFill>
              </w:rPr>
              <w:t>2、应说明不良行为的具体内容，相应文书、文件的名称或文号等。</w:t>
            </w:r>
          </w:p>
        </w:tc>
        <w:tc>
          <w:tcPr>
            <w:tcW w:w="1161" w:type="dxa"/>
            <w:vMerge w:val="restart"/>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202" w:type="dxa"/>
            <w:vMerge w:val="restart"/>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1.2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企业或企业的法定代表人、技术负责人受到行业协会公开谴责惩戒</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left"/>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202"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1.3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kern w:val="0"/>
                <w:sz w:val="24"/>
                <w:szCs w:val="24"/>
                <w:lang w:bidi="ar"/>
              </w:rPr>
              <w:t>企业以其它企业名义或同意其它企业以自身名义进行投标或承接造价咨询业务</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left"/>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202"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1.4 </w:t>
            </w:r>
          </w:p>
        </w:tc>
        <w:tc>
          <w:tcPr>
            <w:tcW w:w="9670" w:type="dxa"/>
            <w:shd w:val="clear" w:color="auto" w:fill="FFFFFF"/>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企业提供虚假评价材料或拒绝接受造价管理机构、造价协会监督检查，情节严重，经查属实</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left"/>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202"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1.5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有法律、法规、规章及行业规定的其他严重违法、违规行为</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left"/>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202"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4740" w:type="dxa"/>
            <w:gridSpan w:val="5"/>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2.1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注册在本企业的职业人员因本企业职务行为受到严重刑事处罚或行政处罚</w:t>
            </w:r>
          </w:p>
        </w:tc>
        <w:tc>
          <w:tcPr>
            <w:tcW w:w="1989" w:type="dxa"/>
            <w:vMerge w:val="restart"/>
            <w:shd w:val="clear" w:color="auto" w:fill="auto"/>
            <w:tcMar>
              <w:top w:w="12" w:type="dxa"/>
              <w:left w:w="12" w:type="dxa"/>
              <w:right w:w="12" w:type="dxa"/>
            </w:tcMar>
            <w:vAlign w:val="center"/>
          </w:tcPr>
          <w:p>
            <w:pPr>
              <w:widowControl/>
              <w:spacing w:line="300" w:lineRule="exact"/>
              <w:ind w:firstLine="0" w:firstLineChars="0"/>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1、企业如发生此类不良行为的，按相应条目进行扣分，分值可累计；</w:t>
            </w:r>
          </w:p>
          <w:p>
            <w:pPr>
              <w:widowControl/>
              <w:spacing w:line="300" w:lineRule="exact"/>
              <w:ind w:firstLine="0" w:firstLineChars="0"/>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2、不良行为信息根据政府主管部门、造价行业管理机构、造价行业协会记录或经查实的举报、投诉等；</w:t>
            </w:r>
            <w:r>
              <w:rPr>
                <w:rFonts w:ascii="Times New Roman" w:hAnsi="Times New Roman" w:eastAsia="仿宋_GB2312" w:cs="Times New Roman"/>
                <w:color w:val="000000" w:themeColor="text1"/>
                <w:kern w:val="0"/>
                <w:sz w:val="24"/>
                <w:szCs w:val="24"/>
                <w:lang w:bidi="ar"/>
                <w14:textFill>
                  <w14:solidFill>
                    <w14:schemeClr w14:val="tx1"/>
                  </w14:solidFill>
                </w14:textFill>
              </w:rPr>
              <w:br w:type="textWrapping"/>
            </w:r>
            <w:r>
              <w:rPr>
                <w:rFonts w:ascii="Times New Roman" w:hAnsi="Times New Roman" w:eastAsia="仿宋_GB2312" w:cs="Times New Roman"/>
                <w:color w:val="000000" w:themeColor="text1"/>
                <w:kern w:val="0"/>
                <w:sz w:val="24"/>
                <w:szCs w:val="24"/>
                <w:lang w:bidi="ar"/>
                <w14:textFill>
                  <w14:solidFill>
                    <w14:schemeClr w14:val="tx1"/>
                  </w14:solidFill>
                </w14:textFill>
              </w:rPr>
              <w:t>3、应说明不良行为的具体内容，相应文书、文件的名称或文号等。</w:t>
            </w: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5</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2</w:t>
            </w:r>
            <w:r>
              <w:rPr>
                <w:rFonts w:ascii="Times New Roman" w:hAnsi="Times New Roman" w:eastAsia="仿宋_GB2312" w:cs="Times New Roman"/>
                <w:color w:val="000000" w:themeColor="text1"/>
                <w:kern w:val="0"/>
                <w:sz w:val="24"/>
                <w:szCs w:val="24"/>
                <w:lang w:bidi="ar"/>
                <w14:textFill>
                  <w14:solidFill>
                    <w14:schemeClr w14:val="tx1"/>
                  </w14:solidFill>
                </w14:textFill>
              </w:rPr>
              <w:t>.2</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被县级及以上建设行政主管部门、相关行政主管部门、行业管理机构、行业协会处以通报、责令整改或其它处罚</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5</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2.3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企业未按照现行国家相关标准规范开展工程造价咨询活动和出具成果文件，给委托人造成重大业务质量事故或重大经济损失</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5</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2.4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企业在造价咨询活动中未按合同约定时间保质保量提交成果文件，并给委托方造成较大损失</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5</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2.5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企业相互串通投标或者与招标人串通投标的，投标人以向招标人或者评标委员会成员行贿的手段谋取中标</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5</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2.6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分公司以自己名义承揽工程造价咨询业务、订立工程造价咨询合同、出具工程造价成果文件；转包承接的工程造价咨询业务；与当事人签订的工程造价咨询合同存在欺骗性条款</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5</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2.7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企业采用给予回扣、低于成本恶意压低服务价格等不正当竞争方式承接业务</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5</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2</w:t>
            </w:r>
            <w:r>
              <w:rPr>
                <w:rFonts w:ascii="Times New Roman" w:hAnsi="Times New Roman" w:eastAsia="仿宋_GB2312" w:cs="Times New Roman"/>
                <w:color w:val="000000" w:themeColor="text1"/>
                <w:kern w:val="0"/>
                <w:sz w:val="24"/>
                <w:szCs w:val="24"/>
                <w:lang w:bidi="ar"/>
                <w14:textFill>
                  <w14:solidFill>
                    <w14:schemeClr w14:val="tx1"/>
                  </w14:solidFill>
                </w14:textFill>
              </w:rPr>
              <w:t>.8</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企业与委托方对同一工程签订两份或两份以上内容有重大差异或咨询收费标准不同的合同</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5</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2</w:t>
            </w:r>
            <w:r>
              <w:rPr>
                <w:rFonts w:ascii="Times New Roman" w:hAnsi="Times New Roman" w:eastAsia="仿宋_GB2312" w:cs="Times New Roman"/>
                <w:color w:val="000000" w:themeColor="text1"/>
                <w:kern w:val="0"/>
                <w:sz w:val="24"/>
                <w:szCs w:val="24"/>
                <w:lang w:bidi="ar"/>
                <w14:textFill>
                  <w14:solidFill>
                    <w14:schemeClr w14:val="tx1"/>
                  </w14:solidFill>
                </w14:textFill>
              </w:rPr>
              <w:t>.9</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企业在工程造价咨询活动中，工程造价咨询合同约定的执业人员与实际执业人员、成果文件签章人员不一致，且未经委托人同意</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4</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2.10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企业在工程造价咨询活动中，出具有虚假记载、误导性陈述的工程造价成果文件</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4</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2.11</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企业泄露、窃取委托方及业务实施中相关方的商业秘密、技术秘密和业务资料</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4</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2</w:t>
            </w:r>
            <w:r>
              <w:rPr>
                <w:rFonts w:ascii="Times New Roman" w:hAnsi="Times New Roman" w:eastAsia="仿宋_GB2312" w:cs="Times New Roman"/>
                <w:color w:val="000000" w:themeColor="text1"/>
                <w:kern w:val="0"/>
                <w:sz w:val="24"/>
                <w:szCs w:val="24"/>
                <w:lang w:bidi="ar"/>
                <w14:textFill>
                  <w14:solidFill>
                    <w14:schemeClr w14:val="tx1"/>
                  </w14:solidFill>
                </w14:textFill>
              </w:rPr>
              <w:t>.12</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企业抄袭、盗用其他单位的成果文件</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4</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2.13</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企业在工程造价咨询合同约定以外直接或间接索取或收受馈赠、贿赂等现金和其他财物</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4</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2</w:t>
            </w:r>
            <w:r>
              <w:rPr>
                <w:rFonts w:ascii="Times New Roman" w:hAnsi="Times New Roman" w:eastAsia="仿宋_GB2312" w:cs="Times New Roman"/>
                <w:color w:val="000000" w:themeColor="text1"/>
                <w:kern w:val="0"/>
                <w:sz w:val="24"/>
                <w:szCs w:val="24"/>
                <w:lang w:bidi="ar"/>
                <w14:textFill>
                  <w14:solidFill>
                    <w14:schemeClr w14:val="tx1"/>
                  </w14:solidFill>
                </w14:textFill>
              </w:rPr>
              <w:t>.14</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企业采用不正当手段诋毁、排挤其他工程造价咨询企业，损害客户和相关各方的合法利益</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3</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2.15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企业非法用工被投诉查实；企业无故扣押已解除劳动合同关系员工的相关证件，阻碍员工正常流动；企业拖欠员工工资和社保；企业职业人员存在挂靠行为</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3</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8"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 xml:space="preserve">2.16 </w:t>
            </w:r>
          </w:p>
        </w:tc>
        <w:tc>
          <w:tcPr>
            <w:tcW w:w="9670" w:type="dxa"/>
            <w:shd w:val="clear" w:color="auto" w:fill="auto"/>
            <w:tcMar>
              <w:top w:w="12" w:type="dxa"/>
              <w:left w:w="12" w:type="dxa"/>
              <w:right w:w="12" w:type="dxa"/>
            </w:tcMar>
            <w:vAlign w:val="center"/>
          </w:tcPr>
          <w:p>
            <w:pPr>
              <w:widowControl/>
              <w:spacing w:line="300" w:lineRule="exact"/>
              <w:ind w:firstLine="0" w:firstLineChars="0"/>
              <w:jc w:val="left"/>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企业在“信用中国”等权威信用机构有不良信用记录</w:t>
            </w:r>
          </w:p>
        </w:tc>
        <w:tc>
          <w:tcPr>
            <w:tcW w:w="1989" w:type="dxa"/>
            <w:vMerge w:val="continue"/>
            <w:shd w:val="clear" w:color="auto" w:fill="auto"/>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c>
          <w:tcPr>
            <w:tcW w:w="1161" w:type="dxa"/>
            <w:shd w:val="clear" w:color="auto" w:fill="auto"/>
            <w:noWrap/>
            <w:tcMar>
              <w:top w:w="12" w:type="dxa"/>
              <w:left w:w="12" w:type="dxa"/>
              <w:right w:w="12" w:type="dxa"/>
            </w:tcMar>
            <w:vAlign w:val="center"/>
          </w:tcPr>
          <w:p>
            <w:pPr>
              <w:widowControl/>
              <w:spacing w:line="300" w:lineRule="exact"/>
              <w:ind w:firstLine="0" w:firstLineChars="0"/>
              <w:jc w:val="center"/>
              <w:textAlignment w:val="center"/>
              <w:rPr>
                <w:rFonts w:ascii="Times New Roman" w:hAnsi="Times New Roman" w:eastAsia="仿宋_GB2312" w:cs="Times New Roman"/>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lang w:bidi="ar"/>
                <w14:textFill>
                  <w14:solidFill>
                    <w14:schemeClr w14:val="tx1"/>
                  </w14:solidFill>
                </w14:textFill>
              </w:rPr>
              <w:t>3</w:t>
            </w:r>
          </w:p>
        </w:tc>
        <w:tc>
          <w:tcPr>
            <w:tcW w:w="1202" w:type="dxa"/>
            <w:shd w:val="clear" w:color="auto" w:fill="auto"/>
            <w:noWrap/>
            <w:tcMar>
              <w:top w:w="12" w:type="dxa"/>
              <w:left w:w="12" w:type="dxa"/>
              <w:right w:w="12" w:type="dxa"/>
            </w:tcMar>
            <w:vAlign w:val="center"/>
          </w:tcPr>
          <w:p>
            <w:pPr>
              <w:widowControl/>
              <w:spacing w:line="300" w:lineRule="exact"/>
              <w:ind w:firstLine="0" w:firstLineChars="0"/>
              <w:jc w:val="center"/>
              <w:rPr>
                <w:rFonts w:ascii="Times New Roman" w:hAnsi="Times New Roman" w:eastAsia="仿宋_GB2312" w:cs="Times New Roman"/>
                <w:color w:val="000000" w:themeColor="text1"/>
                <w:sz w:val="24"/>
                <w:szCs w:val="24"/>
                <w14:textFill>
                  <w14:solidFill>
                    <w14:schemeClr w14:val="tx1"/>
                  </w14:solidFill>
                </w14:textFill>
              </w:rPr>
            </w:pPr>
          </w:p>
        </w:tc>
      </w:tr>
    </w:tbl>
    <w:p>
      <w:pPr>
        <w:widowControl/>
        <w:spacing w:line="400" w:lineRule="exact"/>
        <w:ind w:left="1" w:leftChars="-196" w:hanging="657" w:hangingChars="258"/>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注：1、同一事项被不同部门处罚或通报，按最高扣分计扣一次;</w:t>
      </w:r>
    </w:p>
    <w:p>
      <w:pPr>
        <w:widowControl/>
        <w:spacing w:line="400" w:lineRule="exact"/>
        <w:ind w:left="-10" w:leftChars="-46" w:hanging="144" w:hangingChars="57"/>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2、本表“不良行为”内容和扣分，适用企业（法人），也适用企业的分支机构。</w:t>
      </w:r>
      <w:r>
        <w:rPr>
          <w:rFonts w:hint="eastAsia" w:ascii="Times New Roman" w:hAnsi="Times New Roman" w:eastAsia="仿宋_GB2312" w:cs="Times New Roman"/>
          <w:color w:val="000000" w:themeColor="text1"/>
          <w:kern w:val="0"/>
          <w:sz w:val="24"/>
          <w:szCs w:val="24"/>
          <w:lang w:bidi="ar"/>
          <w14:textFill>
            <w14:solidFill>
              <w14:schemeClr w14:val="tx1"/>
            </w14:solidFill>
          </w14:textFill>
        </w:rPr>
        <w:tab/>
      </w:r>
    </w:p>
    <w:p>
      <w:pPr>
        <w:widowControl/>
        <w:ind w:firstLine="671"/>
        <w:jc w:val="left"/>
        <w:rPr>
          <w:rFonts w:ascii="黑体" w:hAnsi="黑体" w:eastAsia="黑体" w:cs="宋体"/>
          <w:color w:val="000000" w:themeColor="text1"/>
          <w:kern w:val="0"/>
          <w:szCs w:val="32"/>
          <w14:textFill>
            <w14:solidFill>
              <w14:schemeClr w14:val="tx1"/>
            </w14:solidFill>
          </w14:textFill>
        </w:rPr>
      </w:pPr>
    </w:p>
    <w:p>
      <w:pPr>
        <w:widowControl/>
        <w:ind w:firstLine="671"/>
        <w:jc w:val="left"/>
        <w:rPr>
          <w:rFonts w:ascii="黑体" w:hAnsi="黑体" w:eastAsia="黑体" w:cs="宋体"/>
          <w:color w:val="000000" w:themeColor="text1"/>
          <w:kern w:val="0"/>
          <w:szCs w:val="32"/>
          <w14:textFill>
            <w14:solidFill>
              <w14:schemeClr w14:val="tx1"/>
            </w14:solidFill>
          </w14:textFill>
        </w:rPr>
      </w:pPr>
    </w:p>
    <w:p>
      <w:pPr>
        <w:tabs>
          <w:tab w:val="left" w:pos="1264"/>
        </w:tabs>
        <w:spacing w:line="560" w:lineRule="exact"/>
        <w:ind w:left="335" w:leftChars="100" w:right="335" w:rightChars="100" w:firstLine="591"/>
        <w:jc w:val="left"/>
        <w:rPr>
          <w:rFonts w:ascii="方正小标宋简体" w:hAnsi="方正小标宋简体" w:eastAsia="方正小标宋简体" w:cs="方正小标宋简体"/>
          <w:color w:val="000000" w:themeColor="text1"/>
          <w:position w:val="-6"/>
          <w:sz w:val="36"/>
          <w:szCs w:val="36"/>
          <w14:textFill>
            <w14:solidFill>
              <w14:schemeClr w14:val="tx1"/>
            </w14:solidFill>
          </w14:textFill>
        </w:rPr>
      </w:pPr>
      <w:r>
        <w:rPr>
          <w:rFonts w:ascii="仿宋" w:hAnsi="仿宋"/>
          <w:color w:val="000000" w:themeColor="text1"/>
          <w:position w:val="6"/>
          <w:sz w:val="28"/>
          <w:szCs w:val="28"/>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-53975</wp:posOffset>
                </wp:positionH>
                <wp:positionV relativeFrom="paragraph">
                  <wp:posOffset>74930</wp:posOffset>
                </wp:positionV>
                <wp:extent cx="863981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863981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25pt;margin-top:5.9pt;height:0pt;width:680.3pt;z-index:251659264;mso-width-relative:page;mso-height-relative:page;" filled="f" stroked="t" coordsize="21600,21600" o:gfxdata="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U1MpX9cAAAAJAQAA&#10;DwAAAAAAAAABACAAAAAiAAAAZHJzL2Rvd25yZXYueG1sUEsBAhQAFAAAAAgAh07iQIAw+zDhAQAA&#10;sQMAAA4AAAAAAAAAAQAgAAAAJgEAAGRycy9lMm9Eb2MueG1sUEsFBgAAAAAGAAYAWQEAAHkFAAAA&#10;AA==&#10;">
                <v:fill on="f" focussize="0,0"/>
                <v:stroke color="#000000 [3213]" miterlimit="8" joinstyle="miter"/>
                <v:imagedata o:title=""/>
                <o:lock v:ext="edit" aspectratio="f"/>
              </v:line>
            </w:pict>
          </mc:Fallback>
        </mc:AlternateContent>
      </w:r>
      <w:r>
        <w:rPr>
          <w:rFonts w:ascii="仿宋" w:hAnsi="仿宋"/>
          <w:color w:val="000000" w:themeColor="text1"/>
          <w:position w:val="6"/>
          <w:sz w:val="28"/>
          <w:szCs w:val="28"/>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-53975</wp:posOffset>
                </wp:positionH>
                <wp:positionV relativeFrom="paragraph">
                  <wp:posOffset>400685</wp:posOffset>
                </wp:positionV>
                <wp:extent cx="863981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863981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25pt;margin-top:31.55pt;height:0pt;width:680.3pt;z-index:251660288;mso-width-relative:page;mso-height-relative:page;" filled="f" stroked="t" coordsize="21600,21600" o:gfxdata="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gTbuM2AAAAAkB&#10;AAAPAAAAAAAAAAEAIAAAACIAAABkcnMvZG93bnJldi54bWxQSwECFAAUAAAACACHTuJANei3TeIB&#10;AACxAwAADgAAAAAAAAABACAAAAAnAQAAZHJzL2Uyb0RvYy54bWxQSwUGAAAAAAYABgBZAQAAewUA&#10;AAAA&#10;">
                <v:fill on="f" focussize="0,0"/>
                <v:stroke color="#000000 [3213]" miterlimit="8" joinstyle="miter"/>
                <v:imagedata o:title=""/>
                <o:lock v:ext="edit" aspectratio="f"/>
              </v:line>
            </w:pict>
          </mc:Fallback>
        </mc:AlternateContent>
      </w:r>
      <w:r>
        <w:rPr>
          <w:rFonts w:hint="eastAsia" w:ascii="仿宋" w:hAnsi="仿宋"/>
          <w:color w:val="000000" w:themeColor="text1"/>
          <w:position w:val="-6"/>
          <w:sz w:val="28"/>
          <w:szCs w:val="28"/>
          <w14:textFill>
            <w14:solidFill>
              <w14:schemeClr w14:val="tx1"/>
            </w14:solidFill>
          </w14:textFill>
        </w:rPr>
        <w:t>中国建设工程造价管理协会秘书处</w:t>
      </w:r>
      <w:r>
        <w:rPr>
          <w:rFonts w:ascii="仿宋" w:hAnsi="仿宋"/>
          <w:color w:val="000000" w:themeColor="text1"/>
          <w:position w:val="-6"/>
          <w:sz w:val="28"/>
          <w:szCs w:val="28"/>
          <w14:textFill>
            <w14:solidFill>
              <w14:schemeClr w14:val="tx1"/>
            </w14:solidFill>
          </w14:textFill>
        </w:rPr>
        <w:t xml:space="preserve">  </w:t>
      </w:r>
      <w:r>
        <w:rPr>
          <w:rFonts w:hint="eastAsia" w:ascii="仿宋" w:hAnsi="仿宋"/>
          <w:color w:val="000000" w:themeColor="text1"/>
          <w:position w:val="-6"/>
          <w:sz w:val="28"/>
          <w:szCs w:val="28"/>
          <w14:textFill>
            <w14:solidFill>
              <w14:schemeClr w14:val="tx1"/>
            </w14:solidFill>
          </w14:textFill>
        </w:rPr>
        <w:t xml:space="preserve">                             </w:t>
      </w:r>
      <w:r>
        <w:rPr>
          <w:rFonts w:ascii="仿宋" w:hAnsi="仿宋"/>
          <w:color w:val="000000" w:themeColor="text1"/>
          <w:position w:val="-6"/>
          <w:sz w:val="28"/>
          <w:szCs w:val="28"/>
          <w14:textFill>
            <w14:solidFill>
              <w14:schemeClr w14:val="tx1"/>
            </w14:solidFill>
          </w14:textFill>
        </w:rPr>
        <w:t xml:space="preserve">     20</w:t>
      </w:r>
      <w:r>
        <w:rPr>
          <w:rFonts w:hint="eastAsia" w:ascii="仿宋" w:hAnsi="仿宋"/>
          <w:color w:val="000000" w:themeColor="text1"/>
          <w:position w:val="-6"/>
          <w:sz w:val="28"/>
          <w:szCs w:val="28"/>
          <w:lang w:val="en-US" w:eastAsia="zh-CN"/>
          <w14:textFill>
            <w14:solidFill>
              <w14:schemeClr w14:val="tx1"/>
            </w14:solidFill>
          </w14:textFill>
        </w:rPr>
        <w:t>22</w:t>
      </w:r>
      <w:r>
        <w:rPr>
          <w:rFonts w:hint="eastAsia" w:ascii="仿宋" w:hAnsi="仿宋"/>
          <w:color w:val="000000" w:themeColor="text1"/>
          <w:position w:val="-6"/>
          <w:sz w:val="28"/>
          <w:szCs w:val="28"/>
          <w14:textFill>
            <w14:solidFill>
              <w14:schemeClr w14:val="tx1"/>
            </w14:solidFill>
          </w14:textFill>
        </w:rPr>
        <w:t>年</w:t>
      </w:r>
      <w:r>
        <w:rPr>
          <w:rFonts w:hint="eastAsia" w:ascii="仿宋" w:hAnsi="仿宋"/>
          <w:color w:val="000000" w:themeColor="text1"/>
          <w:position w:val="-6"/>
          <w:sz w:val="28"/>
          <w:szCs w:val="28"/>
          <w:lang w:val="en-US" w:eastAsia="zh-CN"/>
          <w14:textFill>
            <w14:solidFill>
              <w14:schemeClr w14:val="tx1"/>
            </w14:solidFill>
          </w14:textFill>
        </w:rPr>
        <w:t xml:space="preserve"> </w:t>
      </w:r>
      <w:r>
        <w:rPr>
          <w:rFonts w:hint="eastAsia" w:ascii="仿宋" w:hAnsi="仿宋"/>
          <w:color w:val="000000" w:themeColor="text1"/>
          <w:position w:val="-6"/>
          <w:sz w:val="28"/>
          <w:szCs w:val="28"/>
          <w14:textFill>
            <w14:solidFill>
              <w14:schemeClr w14:val="tx1"/>
            </w14:solidFill>
          </w14:textFill>
        </w:rPr>
        <w:t>月</w:t>
      </w:r>
      <w:r>
        <w:rPr>
          <w:rFonts w:hint="eastAsia" w:ascii="仿宋" w:hAnsi="仿宋"/>
          <w:color w:val="000000" w:themeColor="text1"/>
          <w:position w:val="-6"/>
          <w:sz w:val="28"/>
          <w:szCs w:val="28"/>
          <w:lang w:val="en-US" w:eastAsia="zh-CN"/>
          <w14:textFill>
            <w14:solidFill>
              <w14:schemeClr w14:val="tx1"/>
            </w14:solidFill>
          </w14:textFill>
        </w:rPr>
        <w:t xml:space="preserve"> </w:t>
      </w:r>
      <w:r>
        <w:rPr>
          <w:rFonts w:hint="eastAsia" w:ascii="仿宋" w:hAnsi="仿宋"/>
          <w:color w:val="000000" w:themeColor="text1"/>
          <w:position w:val="-6"/>
          <w:sz w:val="28"/>
          <w:szCs w:val="28"/>
          <w14:textFill>
            <w14:solidFill>
              <w14:schemeClr w14:val="tx1"/>
            </w14:solidFill>
          </w14:textFill>
        </w:rPr>
        <w:t xml:space="preserve">日印发 </w:t>
      </w:r>
    </w:p>
    <w:sectPr>
      <w:headerReference r:id="rId11" w:type="even"/>
      <w:pgSz w:w="16838" w:h="11906" w:orient="landscape"/>
      <w:pgMar w:top="1701" w:right="1701" w:bottom="1701" w:left="1701" w:header="0" w:footer="1417" w:gutter="0"/>
      <w:cols w:space="0" w:num="1"/>
      <w:docGrid w:type="linesAndChars" w:linePitch="607" w:charSpace="31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54"/>
      </w:pPr>
      <w:r>
        <w:separator/>
      </w:r>
    </w:p>
  </w:endnote>
  <w:endnote w:type="continuationSeparator" w:id="1">
    <w:p>
      <w:pPr>
        <w:ind w:firstLine="65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Narrow">
    <w:panose1 w:val="020B0606020202030204"/>
    <w:charset w:val="00"/>
    <w:family w:val="swiss"/>
    <w:pitch w:val="default"/>
    <w:sig w:usb0="00000287" w:usb1="000008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0" w:firstLineChars="100"/>
      <w:jc w:val="right"/>
    </w:pPr>
    <w:r>
      <w:rPr>
        <w:rFonts w:hint="eastAsia" w:ascii="宋体" w:hAnsi="宋体" w:eastAsia="宋体"/>
        <w:sz w:val="28"/>
        <w:szCs w:val="28"/>
      </w:rPr>
      <w:t xml:space="preserve">— </w:t>
    </w:r>
    <w:sdt>
      <w:sdtPr>
        <w:rPr>
          <w:rFonts w:hint="eastAsia" w:ascii="宋体" w:hAnsi="宋体" w:eastAsia="宋体"/>
          <w:sz w:val="28"/>
          <w:szCs w:val="28"/>
        </w:rPr>
        <w:id w:val="1783535578"/>
      </w:sdtPr>
      <w:sdtEndPr>
        <w:rPr>
          <w:rFonts w:hint="eastAsia" w:ascii="宋体" w:hAnsi="宋体" w:eastAsia="宋体"/>
          <w:sz w:val="28"/>
          <w:szCs w:val="28"/>
        </w:rPr>
      </w:sdtEndPr>
      <w:sdtContent>
        <w:r>
          <w:rPr>
            <w:rFonts w:hint="eastAsia" w:ascii="宋体" w:hAnsi="宋体" w:eastAsia="宋体"/>
            <w:sz w:val="28"/>
            <w:szCs w:val="28"/>
          </w:rPr>
          <w:fldChar w:fldCharType="begin"/>
        </w:r>
        <w:r>
          <w:rPr>
            <w:rFonts w:hint="eastAsia" w:ascii="宋体" w:hAnsi="宋体" w:eastAsia="宋体"/>
            <w:sz w:val="28"/>
            <w:szCs w:val="28"/>
          </w:rPr>
          <w:instrText xml:space="preserve">PAGE   \* MERGEFORMAT</w:instrText>
        </w:r>
        <w:r>
          <w:rPr>
            <w:rFonts w:hint="eastAsia" w:ascii="宋体" w:hAnsi="宋体" w:eastAsia="宋体"/>
            <w:sz w:val="28"/>
            <w:szCs w:val="28"/>
          </w:rPr>
          <w:fldChar w:fldCharType="separate"/>
        </w:r>
        <w:r>
          <w:rPr>
            <w:rFonts w:ascii="宋体" w:hAnsi="宋体" w:eastAsia="宋体"/>
            <w:sz w:val="28"/>
            <w:szCs w:val="28"/>
          </w:rPr>
          <w:t>13</w:t>
        </w:r>
        <w:r>
          <w:rPr>
            <w:rFonts w:hint="eastAsia" w:ascii="宋体" w:hAnsi="宋体" w:eastAsia="宋体"/>
            <w:sz w:val="28"/>
            <w:szCs w:val="28"/>
          </w:rPr>
          <w:fldChar w:fldCharType="end"/>
        </w:r>
        <w:r>
          <w:rPr>
            <w:rFonts w:hint="eastAsia" w:ascii="宋体" w:hAnsi="宋体" w:eastAsia="宋体"/>
            <w:sz w:val="28"/>
            <w:szCs w:val="28"/>
          </w:rPr>
          <w:t xml:space="preserve"> —</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560"/>
    </w:pPr>
    <w:r>
      <w:rPr>
        <w:rFonts w:hint="eastAsia" w:ascii="宋体" w:hAnsi="宋体" w:eastAsia="宋体"/>
        <w:sz w:val="28"/>
        <w:szCs w:val="28"/>
      </w:rPr>
      <w:t xml:space="preserve">— </w:t>
    </w:r>
    <w:sdt>
      <w:sdtPr>
        <w:rPr>
          <w:rFonts w:hint="eastAsia" w:ascii="宋体" w:hAnsi="宋体" w:eastAsia="宋体"/>
          <w:sz w:val="28"/>
          <w:szCs w:val="28"/>
        </w:rPr>
        <w:id w:val="-1866508705"/>
      </w:sdtPr>
      <w:sdtEndPr>
        <w:rPr>
          <w:rFonts w:hint="eastAsia" w:ascii="宋体" w:hAnsi="宋体" w:eastAsia="宋体"/>
          <w:sz w:val="28"/>
          <w:szCs w:val="28"/>
        </w:rPr>
      </w:sdtEndPr>
      <w:sdtContent>
        <w:r>
          <w:rPr>
            <w:rFonts w:hint="eastAsia" w:ascii="宋体" w:hAnsi="宋体" w:eastAsia="宋体"/>
            <w:sz w:val="28"/>
            <w:szCs w:val="28"/>
          </w:rPr>
          <w:fldChar w:fldCharType="begin"/>
        </w:r>
        <w:r>
          <w:rPr>
            <w:rFonts w:hint="eastAsia" w:ascii="宋体" w:hAnsi="宋体" w:eastAsia="宋体"/>
            <w:sz w:val="28"/>
            <w:szCs w:val="28"/>
          </w:rPr>
          <w:instrText xml:space="preserve">PAGE   \* MERGEFORMAT</w:instrText>
        </w:r>
        <w:r>
          <w:rPr>
            <w:rFonts w:hint="eastAsia" w:ascii="宋体" w:hAnsi="宋体" w:eastAsia="宋体"/>
            <w:sz w:val="28"/>
            <w:szCs w:val="28"/>
          </w:rPr>
          <w:fldChar w:fldCharType="separate"/>
        </w:r>
        <w:r>
          <w:rPr>
            <w:rFonts w:ascii="宋体" w:hAnsi="宋体" w:eastAsia="宋体"/>
            <w:sz w:val="28"/>
            <w:szCs w:val="28"/>
          </w:rPr>
          <w:t>14</w:t>
        </w:r>
        <w:r>
          <w:rPr>
            <w:rFonts w:hint="eastAsia" w:ascii="宋体" w:hAnsi="宋体" w:eastAsia="宋体"/>
            <w:sz w:val="28"/>
            <w:szCs w:val="28"/>
          </w:rPr>
          <w:fldChar w:fldCharType="end"/>
        </w:r>
        <w:r>
          <w:rPr>
            <w:rFonts w:hint="eastAsia" w:ascii="宋体" w:hAnsi="宋体" w:eastAsia="宋体"/>
            <w:sz w:val="28"/>
            <w:szCs w:val="28"/>
          </w:rPr>
          <w:t xml:space="preserve"> —</w:t>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54"/>
      </w:pPr>
      <w:r>
        <w:separator/>
      </w:r>
    </w:p>
  </w:footnote>
  <w:footnote w:type="continuationSeparator" w:id="1">
    <w:p>
      <w:pPr>
        <w:ind w:firstLine="654"/>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E31B67"/>
    <w:multiLevelType w:val="singleLevel"/>
    <w:tmpl w:val="6FE31B67"/>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3"/>
  <w:drawingGridVerticalSpacing w:val="6"/>
  <w:displayHorizontalDrawingGridEvery w:val="0"/>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DE5"/>
    <w:rsid w:val="0001352F"/>
    <w:rsid w:val="0002334A"/>
    <w:rsid w:val="00026C38"/>
    <w:rsid w:val="00044DF7"/>
    <w:rsid w:val="00077D16"/>
    <w:rsid w:val="000A0241"/>
    <w:rsid w:val="000A38C0"/>
    <w:rsid w:val="000A70EA"/>
    <w:rsid w:val="000B766C"/>
    <w:rsid w:val="000D1B03"/>
    <w:rsid w:val="000D3F93"/>
    <w:rsid w:val="000E1F7F"/>
    <w:rsid w:val="000E5C9F"/>
    <w:rsid w:val="000F74C9"/>
    <w:rsid w:val="0010294E"/>
    <w:rsid w:val="00107732"/>
    <w:rsid w:val="0012142A"/>
    <w:rsid w:val="001266BD"/>
    <w:rsid w:val="00137306"/>
    <w:rsid w:val="00145192"/>
    <w:rsid w:val="00147884"/>
    <w:rsid w:val="00153265"/>
    <w:rsid w:val="0015470D"/>
    <w:rsid w:val="00155EAD"/>
    <w:rsid w:val="00163968"/>
    <w:rsid w:val="0018485D"/>
    <w:rsid w:val="00196E55"/>
    <w:rsid w:val="001D6E72"/>
    <w:rsid w:val="001E241E"/>
    <w:rsid w:val="001E6463"/>
    <w:rsid w:val="001F133B"/>
    <w:rsid w:val="001F5B2C"/>
    <w:rsid w:val="001F640C"/>
    <w:rsid w:val="00200CB9"/>
    <w:rsid w:val="00204B9D"/>
    <w:rsid w:val="0020501F"/>
    <w:rsid w:val="0020532C"/>
    <w:rsid w:val="00205C1A"/>
    <w:rsid w:val="00211435"/>
    <w:rsid w:val="00217F9F"/>
    <w:rsid w:val="00224EA8"/>
    <w:rsid w:val="00231E68"/>
    <w:rsid w:val="0023436D"/>
    <w:rsid w:val="00234C29"/>
    <w:rsid w:val="00264EED"/>
    <w:rsid w:val="002768F1"/>
    <w:rsid w:val="002818D1"/>
    <w:rsid w:val="00292FCA"/>
    <w:rsid w:val="00294612"/>
    <w:rsid w:val="00295F76"/>
    <w:rsid w:val="00297F59"/>
    <w:rsid w:val="002A4AA0"/>
    <w:rsid w:val="002B78A0"/>
    <w:rsid w:val="002C4AAB"/>
    <w:rsid w:val="002D6858"/>
    <w:rsid w:val="002E00A9"/>
    <w:rsid w:val="002E661D"/>
    <w:rsid w:val="002F76C1"/>
    <w:rsid w:val="00304934"/>
    <w:rsid w:val="00320A1D"/>
    <w:rsid w:val="00322361"/>
    <w:rsid w:val="00334946"/>
    <w:rsid w:val="0035339A"/>
    <w:rsid w:val="00356736"/>
    <w:rsid w:val="00361E98"/>
    <w:rsid w:val="00366089"/>
    <w:rsid w:val="003749D3"/>
    <w:rsid w:val="00382EF3"/>
    <w:rsid w:val="003849DC"/>
    <w:rsid w:val="003A33FA"/>
    <w:rsid w:val="003A3C29"/>
    <w:rsid w:val="003C3D68"/>
    <w:rsid w:val="003D07DA"/>
    <w:rsid w:val="00403E8A"/>
    <w:rsid w:val="0041539B"/>
    <w:rsid w:val="00420159"/>
    <w:rsid w:val="004210E8"/>
    <w:rsid w:val="00433C63"/>
    <w:rsid w:val="00434E9A"/>
    <w:rsid w:val="004363F8"/>
    <w:rsid w:val="00450E2E"/>
    <w:rsid w:val="00472A15"/>
    <w:rsid w:val="00476183"/>
    <w:rsid w:val="00476C78"/>
    <w:rsid w:val="00484E2A"/>
    <w:rsid w:val="0049176D"/>
    <w:rsid w:val="004C0D3B"/>
    <w:rsid w:val="004D4D5F"/>
    <w:rsid w:val="004D5C6B"/>
    <w:rsid w:val="004D77CE"/>
    <w:rsid w:val="004F772F"/>
    <w:rsid w:val="00504FF3"/>
    <w:rsid w:val="005064A1"/>
    <w:rsid w:val="00523482"/>
    <w:rsid w:val="00526771"/>
    <w:rsid w:val="00530ABD"/>
    <w:rsid w:val="00531AD0"/>
    <w:rsid w:val="005329BE"/>
    <w:rsid w:val="00541B5E"/>
    <w:rsid w:val="005454A3"/>
    <w:rsid w:val="00554F06"/>
    <w:rsid w:val="00573AA5"/>
    <w:rsid w:val="00575DF5"/>
    <w:rsid w:val="00581462"/>
    <w:rsid w:val="00582B6E"/>
    <w:rsid w:val="005858BA"/>
    <w:rsid w:val="00595566"/>
    <w:rsid w:val="005B27F1"/>
    <w:rsid w:val="005C5EA9"/>
    <w:rsid w:val="005D2946"/>
    <w:rsid w:val="005D390E"/>
    <w:rsid w:val="005D5204"/>
    <w:rsid w:val="005D58D7"/>
    <w:rsid w:val="005E09CB"/>
    <w:rsid w:val="00604ED7"/>
    <w:rsid w:val="00605943"/>
    <w:rsid w:val="00613AAE"/>
    <w:rsid w:val="00614945"/>
    <w:rsid w:val="00616BE7"/>
    <w:rsid w:val="0063076E"/>
    <w:rsid w:val="0063602B"/>
    <w:rsid w:val="00641928"/>
    <w:rsid w:val="00643169"/>
    <w:rsid w:val="00647F4B"/>
    <w:rsid w:val="0065130E"/>
    <w:rsid w:val="00666DD2"/>
    <w:rsid w:val="0067480B"/>
    <w:rsid w:val="00695581"/>
    <w:rsid w:val="006955C4"/>
    <w:rsid w:val="00697D88"/>
    <w:rsid w:val="006A03E6"/>
    <w:rsid w:val="006A6585"/>
    <w:rsid w:val="006B4897"/>
    <w:rsid w:val="006B79CA"/>
    <w:rsid w:val="006C392C"/>
    <w:rsid w:val="006C4133"/>
    <w:rsid w:val="006C592D"/>
    <w:rsid w:val="006D2146"/>
    <w:rsid w:val="006D270A"/>
    <w:rsid w:val="006D5427"/>
    <w:rsid w:val="006D7138"/>
    <w:rsid w:val="006E28CF"/>
    <w:rsid w:val="006E599D"/>
    <w:rsid w:val="006E6212"/>
    <w:rsid w:val="007423B5"/>
    <w:rsid w:val="007459A3"/>
    <w:rsid w:val="00746155"/>
    <w:rsid w:val="00756A75"/>
    <w:rsid w:val="00763678"/>
    <w:rsid w:val="00766B79"/>
    <w:rsid w:val="00771C60"/>
    <w:rsid w:val="00772F3C"/>
    <w:rsid w:val="007765B2"/>
    <w:rsid w:val="00780508"/>
    <w:rsid w:val="00794863"/>
    <w:rsid w:val="0079672B"/>
    <w:rsid w:val="0079687B"/>
    <w:rsid w:val="007B6ABC"/>
    <w:rsid w:val="007D6D97"/>
    <w:rsid w:val="007F7798"/>
    <w:rsid w:val="0080160B"/>
    <w:rsid w:val="00806EAB"/>
    <w:rsid w:val="008307E8"/>
    <w:rsid w:val="0083425B"/>
    <w:rsid w:val="00856289"/>
    <w:rsid w:val="008657FC"/>
    <w:rsid w:val="00883948"/>
    <w:rsid w:val="008865A0"/>
    <w:rsid w:val="0088748E"/>
    <w:rsid w:val="00890F4E"/>
    <w:rsid w:val="008A00F9"/>
    <w:rsid w:val="008A6BA3"/>
    <w:rsid w:val="008B4913"/>
    <w:rsid w:val="008B5C7B"/>
    <w:rsid w:val="008C53D6"/>
    <w:rsid w:val="008E70B6"/>
    <w:rsid w:val="009027C4"/>
    <w:rsid w:val="00902D97"/>
    <w:rsid w:val="00912119"/>
    <w:rsid w:val="00917E22"/>
    <w:rsid w:val="00931DBE"/>
    <w:rsid w:val="009320BC"/>
    <w:rsid w:val="00933EBC"/>
    <w:rsid w:val="00936D5E"/>
    <w:rsid w:val="00943AC5"/>
    <w:rsid w:val="00951E12"/>
    <w:rsid w:val="00954201"/>
    <w:rsid w:val="00960EFA"/>
    <w:rsid w:val="009632E1"/>
    <w:rsid w:val="00963847"/>
    <w:rsid w:val="00967171"/>
    <w:rsid w:val="00972A57"/>
    <w:rsid w:val="00980B14"/>
    <w:rsid w:val="00981C97"/>
    <w:rsid w:val="00981E31"/>
    <w:rsid w:val="009855A5"/>
    <w:rsid w:val="009B5696"/>
    <w:rsid w:val="009C2CC7"/>
    <w:rsid w:val="009C4976"/>
    <w:rsid w:val="009D1BB5"/>
    <w:rsid w:val="009D7CB9"/>
    <w:rsid w:val="009E502E"/>
    <w:rsid w:val="009F0E24"/>
    <w:rsid w:val="009F7D0F"/>
    <w:rsid w:val="009F7FD3"/>
    <w:rsid w:val="00A02026"/>
    <w:rsid w:val="00A04442"/>
    <w:rsid w:val="00A2539C"/>
    <w:rsid w:val="00A361D2"/>
    <w:rsid w:val="00A429FF"/>
    <w:rsid w:val="00A63818"/>
    <w:rsid w:val="00A73457"/>
    <w:rsid w:val="00A73773"/>
    <w:rsid w:val="00A76240"/>
    <w:rsid w:val="00A8106B"/>
    <w:rsid w:val="00A8284E"/>
    <w:rsid w:val="00A83CCA"/>
    <w:rsid w:val="00A90D8E"/>
    <w:rsid w:val="00AB49B2"/>
    <w:rsid w:val="00AC1C87"/>
    <w:rsid w:val="00AC57BE"/>
    <w:rsid w:val="00AD1F2B"/>
    <w:rsid w:val="00AE183D"/>
    <w:rsid w:val="00AE2E63"/>
    <w:rsid w:val="00AE39AD"/>
    <w:rsid w:val="00AE661C"/>
    <w:rsid w:val="00AF4B34"/>
    <w:rsid w:val="00B01A01"/>
    <w:rsid w:val="00B12381"/>
    <w:rsid w:val="00B21240"/>
    <w:rsid w:val="00B47630"/>
    <w:rsid w:val="00B53EED"/>
    <w:rsid w:val="00B62A1A"/>
    <w:rsid w:val="00B634BC"/>
    <w:rsid w:val="00B65678"/>
    <w:rsid w:val="00B66EB9"/>
    <w:rsid w:val="00B830AF"/>
    <w:rsid w:val="00B83E89"/>
    <w:rsid w:val="00BB06D1"/>
    <w:rsid w:val="00BC4DE5"/>
    <w:rsid w:val="00BC55D9"/>
    <w:rsid w:val="00BF0317"/>
    <w:rsid w:val="00C06DBA"/>
    <w:rsid w:val="00C14214"/>
    <w:rsid w:val="00C16F96"/>
    <w:rsid w:val="00C22DFA"/>
    <w:rsid w:val="00C24056"/>
    <w:rsid w:val="00C27E0C"/>
    <w:rsid w:val="00C456CB"/>
    <w:rsid w:val="00C51419"/>
    <w:rsid w:val="00C56409"/>
    <w:rsid w:val="00C6162F"/>
    <w:rsid w:val="00C6656D"/>
    <w:rsid w:val="00C672D6"/>
    <w:rsid w:val="00C72082"/>
    <w:rsid w:val="00C72C52"/>
    <w:rsid w:val="00C74846"/>
    <w:rsid w:val="00C75429"/>
    <w:rsid w:val="00C80875"/>
    <w:rsid w:val="00C944F7"/>
    <w:rsid w:val="00CA28BE"/>
    <w:rsid w:val="00CA32EF"/>
    <w:rsid w:val="00CC6786"/>
    <w:rsid w:val="00CD05B1"/>
    <w:rsid w:val="00CD06CF"/>
    <w:rsid w:val="00CD23FE"/>
    <w:rsid w:val="00CD3E10"/>
    <w:rsid w:val="00CD5AC9"/>
    <w:rsid w:val="00D003DF"/>
    <w:rsid w:val="00D128C2"/>
    <w:rsid w:val="00D30634"/>
    <w:rsid w:val="00D349B1"/>
    <w:rsid w:val="00D47832"/>
    <w:rsid w:val="00D663B6"/>
    <w:rsid w:val="00D66BC4"/>
    <w:rsid w:val="00D704CC"/>
    <w:rsid w:val="00D777C1"/>
    <w:rsid w:val="00D838B5"/>
    <w:rsid w:val="00D87B3E"/>
    <w:rsid w:val="00D90A29"/>
    <w:rsid w:val="00D92EBB"/>
    <w:rsid w:val="00DA3861"/>
    <w:rsid w:val="00DA5F60"/>
    <w:rsid w:val="00DB3B28"/>
    <w:rsid w:val="00DC0617"/>
    <w:rsid w:val="00DD2D20"/>
    <w:rsid w:val="00DD5BC0"/>
    <w:rsid w:val="00DD60BB"/>
    <w:rsid w:val="00E201AE"/>
    <w:rsid w:val="00E2655C"/>
    <w:rsid w:val="00E3706D"/>
    <w:rsid w:val="00E503B0"/>
    <w:rsid w:val="00E54FE9"/>
    <w:rsid w:val="00E57316"/>
    <w:rsid w:val="00E57541"/>
    <w:rsid w:val="00E76452"/>
    <w:rsid w:val="00E8409C"/>
    <w:rsid w:val="00E84BFB"/>
    <w:rsid w:val="00E84F72"/>
    <w:rsid w:val="00E879DB"/>
    <w:rsid w:val="00E9538D"/>
    <w:rsid w:val="00EA5355"/>
    <w:rsid w:val="00EA6AA9"/>
    <w:rsid w:val="00ED0D3E"/>
    <w:rsid w:val="00ED6EDA"/>
    <w:rsid w:val="00EF0C72"/>
    <w:rsid w:val="00EF2415"/>
    <w:rsid w:val="00EF31DE"/>
    <w:rsid w:val="00EF44EB"/>
    <w:rsid w:val="00EF6D12"/>
    <w:rsid w:val="00F10547"/>
    <w:rsid w:val="00F333AE"/>
    <w:rsid w:val="00F44490"/>
    <w:rsid w:val="00F4485A"/>
    <w:rsid w:val="00F44ACA"/>
    <w:rsid w:val="00F67E3E"/>
    <w:rsid w:val="00FC055E"/>
    <w:rsid w:val="00FC6DB1"/>
    <w:rsid w:val="00FD4371"/>
    <w:rsid w:val="00FD49FC"/>
    <w:rsid w:val="0313076C"/>
    <w:rsid w:val="04443B8E"/>
    <w:rsid w:val="064035EA"/>
    <w:rsid w:val="07003F54"/>
    <w:rsid w:val="0BBA1522"/>
    <w:rsid w:val="0FDC7E25"/>
    <w:rsid w:val="117E3CFE"/>
    <w:rsid w:val="14B33EDE"/>
    <w:rsid w:val="1666180D"/>
    <w:rsid w:val="17854883"/>
    <w:rsid w:val="18181EBA"/>
    <w:rsid w:val="1B8E014E"/>
    <w:rsid w:val="1D040ACE"/>
    <w:rsid w:val="213A2F25"/>
    <w:rsid w:val="243A19B8"/>
    <w:rsid w:val="243E146B"/>
    <w:rsid w:val="2A960EB4"/>
    <w:rsid w:val="2B1F0C95"/>
    <w:rsid w:val="2BD15546"/>
    <w:rsid w:val="39DC721F"/>
    <w:rsid w:val="4223498A"/>
    <w:rsid w:val="46100C00"/>
    <w:rsid w:val="466D3E3B"/>
    <w:rsid w:val="48886145"/>
    <w:rsid w:val="49255046"/>
    <w:rsid w:val="4DEB487B"/>
    <w:rsid w:val="4EB05071"/>
    <w:rsid w:val="4FBB7EB7"/>
    <w:rsid w:val="512D461D"/>
    <w:rsid w:val="52BA28A2"/>
    <w:rsid w:val="552600C8"/>
    <w:rsid w:val="56562204"/>
    <w:rsid w:val="5B215D13"/>
    <w:rsid w:val="5F425C4E"/>
    <w:rsid w:val="612E5E4E"/>
    <w:rsid w:val="62570AA7"/>
    <w:rsid w:val="686C3EE8"/>
    <w:rsid w:val="6F9B554A"/>
    <w:rsid w:val="71F144C2"/>
    <w:rsid w:val="73394A36"/>
    <w:rsid w:val="787D1225"/>
    <w:rsid w:val="7F495ACD"/>
    <w:rsid w:val="7FF503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仿宋" w:asciiTheme="minorHAnsi" w:hAnsiTheme="minorHAnsi" w:cstheme="minorBidi"/>
      <w:kern w:val="2"/>
      <w:sz w:val="32"/>
      <w:szCs w:val="22"/>
      <w:lang w:val="en-US" w:eastAsia="zh-CN" w:bidi="ar-SA"/>
    </w:rPr>
  </w:style>
  <w:style w:type="paragraph" w:styleId="2">
    <w:name w:val="heading 2"/>
    <w:basedOn w:val="1"/>
    <w:next w:val="1"/>
    <w:link w:val="17"/>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99"/>
    <w:pPr>
      <w:spacing w:line="460" w:lineRule="atLeast"/>
      <w:ind w:firstLine="420"/>
    </w:pPr>
    <w:rPr>
      <w:rFonts w:ascii="Calibri" w:hAnsi="Calibri" w:eastAsia="宋体" w:cs="Times New Roman"/>
      <w:bCs/>
      <w:kern w:val="0"/>
      <w:sz w:val="24"/>
      <w:szCs w:val="24"/>
    </w:rPr>
  </w:style>
  <w:style w:type="paragraph" w:styleId="4">
    <w:name w:val="Date"/>
    <w:basedOn w:val="1"/>
    <w:next w:val="1"/>
    <w:link w:val="16"/>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Strong"/>
    <w:qFormat/>
    <w:uiPriority w:val="22"/>
    <w:rPr>
      <w:b/>
      <w:bCs/>
    </w:rPr>
  </w:style>
  <w:style w:type="character" w:customStyle="1" w:styleId="13">
    <w:name w:val="页脚 字符"/>
    <w:basedOn w:val="11"/>
    <w:link w:val="6"/>
    <w:qFormat/>
    <w:uiPriority w:val="99"/>
    <w:rPr>
      <w:rFonts w:eastAsia="仿宋"/>
      <w:sz w:val="18"/>
      <w:szCs w:val="18"/>
    </w:rPr>
  </w:style>
  <w:style w:type="character" w:customStyle="1" w:styleId="14">
    <w:name w:val="页眉 字符"/>
    <w:basedOn w:val="11"/>
    <w:link w:val="7"/>
    <w:qFormat/>
    <w:uiPriority w:val="99"/>
    <w:rPr>
      <w:rFonts w:eastAsia="仿宋"/>
      <w:sz w:val="18"/>
      <w:szCs w:val="18"/>
    </w:rPr>
  </w:style>
  <w:style w:type="paragraph" w:styleId="15">
    <w:name w:val="List Paragraph"/>
    <w:basedOn w:val="1"/>
    <w:qFormat/>
    <w:uiPriority w:val="34"/>
    <w:pPr>
      <w:ind w:firstLine="420"/>
    </w:pPr>
    <w:rPr>
      <w:rFonts w:eastAsiaTheme="minorEastAsia"/>
      <w:sz w:val="21"/>
    </w:rPr>
  </w:style>
  <w:style w:type="character" w:customStyle="1" w:styleId="16">
    <w:name w:val="日期 字符"/>
    <w:basedOn w:val="11"/>
    <w:link w:val="4"/>
    <w:semiHidden/>
    <w:qFormat/>
    <w:uiPriority w:val="99"/>
    <w:rPr>
      <w:rFonts w:eastAsia="仿宋"/>
      <w:sz w:val="32"/>
    </w:rPr>
  </w:style>
  <w:style w:type="character" w:customStyle="1" w:styleId="17">
    <w:name w:val="标题 2 字符"/>
    <w:basedOn w:val="11"/>
    <w:link w:val="2"/>
    <w:qFormat/>
    <w:uiPriority w:val="9"/>
    <w:rPr>
      <w:rFonts w:ascii="宋体" w:hAnsi="宋体" w:eastAsia="宋体" w:cs="宋体"/>
      <w:b/>
      <w:bCs/>
      <w:sz w:val="36"/>
      <w:szCs w:val="36"/>
    </w:rPr>
  </w:style>
  <w:style w:type="character" w:customStyle="1" w:styleId="18">
    <w:name w:val="批注框文本 字符"/>
    <w:basedOn w:val="11"/>
    <w:link w:val="5"/>
    <w:semiHidden/>
    <w:qFormat/>
    <w:uiPriority w:val="99"/>
    <w:rPr>
      <w:rFonts w:eastAsia="仿宋"/>
      <w:kern w:val="2"/>
      <w:sz w:val="18"/>
      <w:szCs w:val="18"/>
    </w:rPr>
  </w:style>
  <w:style w:type="paragraph" w:customStyle="1" w:styleId="19">
    <w:name w:val="正文（无缩进）"/>
    <w:basedOn w:val="1"/>
    <w:qFormat/>
    <w:uiPriority w:val="99"/>
    <w:pPr>
      <w:spacing w:line="460" w:lineRule="atLeast"/>
      <w:ind w:firstLine="480"/>
    </w:pPr>
    <w:rPr>
      <w:rFonts w:ascii="Calibri" w:hAnsi="Calibri" w:eastAsia="宋体" w:cs="Times New Roman"/>
      <w:bCs/>
      <w:kern w:val="0"/>
      <w:sz w:val="24"/>
      <w:szCs w:val="21"/>
    </w:rPr>
  </w:style>
  <w:style w:type="character" w:customStyle="1" w:styleId="20">
    <w:name w:val="font51"/>
    <w:basedOn w:val="11"/>
    <w:qFormat/>
    <w:uiPriority w:val="0"/>
    <w:rPr>
      <w:rFonts w:hint="eastAsia" w:ascii="宋体" w:hAnsi="宋体" w:eastAsia="宋体" w:cs="宋体"/>
      <w:color w:val="000000"/>
      <w:sz w:val="20"/>
      <w:szCs w:val="20"/>
      <w:u w:val="none"/>
    </w:rPr>
  </w:style>
  <w:style w:type="character" w:customStyle="1" w:styleId="21">
    <w:name w:val="font61"/>
    <w:basedOn w:val="11"/>
    <w:qFormat/>
    <w:uiPriority w:val="0"/>
    <w:rPr>
      <w:rFonts w:hint="default" w:ascii="Arial Narrow" w:hAnsi="Arial Narrow" w:eastAsia="Arial Narrow" w:cs="Arial Narrow"/>
      <w:color w:val="000000"/>
      <w:sz w:val="20"/>
      <w:szCs w:val="20"/>
      <w:u w:val="none"/>
    </w:rPr>
  </w:style>
  <w:style w:type="character" w:customStyle="1" w:styleId="22">
    <w:name w:val="font111"/>
    <w:basedOn w:val="11"/>
    <w:qFormat/>
    <w:uiPriority w:val="0"/>
    <w:rPr>
      <w:rFonts w:hint="default" w:ascii="Arial Narrow" w:hAnsi="Arial Narrow" w:eastAsia="Arial Narrow" w:cs="Arial Narrow"/>
      <w:color w:val="000000"/>
      <w:sz w:val="20"/>
      <w:szCs w:val="20"/>
      <w:u w:val="none"/>
      <w:vertAlign w:val="subscript"/>
    </w:rPr>
  </w:style>
  <w:style w:type="character" w:customStyle="1" w:styleId="23">
    <w:name w:val="font01"/>
    <w:basedOn w:val="11"/>
    <w:qFormat/>
    <w:uiPriority w:val="0"/>
    <w:rPr>
      <w:rFonts w:hint="eastAsia" w:ascii="宋体" w:hAnsi="宋体" w:eastAsia="宋体" w:cs="宋体"/>
      <w:color w:val="000000"/>
      <w:sz w:val="20"/>
      <w:szCs w:val="20"/>
      <w:u w:val="none"/>
      <w:vertAlign w:val="subscript"/>
    </w:rPr>
  </w:style>
  <w:style w:type="character" w:customStyle="1" w:styleId="24">
    <w:name w:val="font91"/>
    <w:basedOn w:val="11"/>
    <w:qFormat/>
    <w:uiPriority w:val="0"/>
    <w:rPr>
      <w:rFonts w:ascii="等线 Light" w:hAnsi="等线 Light" w:eastAsia="等线 Light" w:cs="等线 Light"/>
      <w:color w:val="000000"/>
      <w:sz w:val="20"/>
      <w:szCs w:val="20"/>
      <w:u w:val="none"/>
    </w:rPr>
  </w:style>
  <w:style w:type="character" w:customStyle="1" w:styleId="25">
    <w:name w:val="font31"/>
    <w:basedOn w:val="11"/>
    <w:qFormat/>
    <w:uiPriority w:val="0"/>
    <w:rPr>
      <w:rFonts w:hint="eastAsia" w:ascii="宋体" w:hAnsi="宋体" w:eastAsia="宋体" w:cs="宋体"/>
      <w:color w:val="000000"/>
      <w:sz w:val="22"/>
      <w:szCs w:val="22"/>
      <w:u w:val="none"/>
    </w:rPr>
  </w:style>
  <w:style w:type="character" w:customStyle="1" w:styleId="26">
    <w:name w:val="font11"/>
    <w:basedOn w:val="11"/>
    <w:qFormat/>
    <w:uiPriority w:val="0"/>
    <w:rPr>
      <w:rFonts w:ascii="Arial Narrow" w:hAnsi="Arial Narrow" w:eastAsia="Arial Narrow" w:cs="Arial Narrow"/>
      <w:color w:val="000000"/>
      <w:sz w:val="22"/>
      <w:szCs w:val="22"/>
      <w:u w:val="none"/>
    </w:rPr>
  </w:style>
  <w:style w:type="character" w:customStyle="1" w:styleId="27">
    <w:name w:val="font71"/>
    <w:basedOn w:val="11"/>
    <w:qFormat/>
    <w:uiPriority w:val="0"/>
    <w:rPr>
      <w:rFonts w:hint="eastAsia" w:ascii="宋体" w:hAnsi="宋体" w:eastAsia="宋体" w:cs="宋体"/>
      <w:b/>
      <w:color w:val="000000"/>
      <w:sz w:val="22"/>
      <w:szCs w:val="22"/>
      <w:u w:val="none"/>
    </w:rPr>
  </w:style>
  <w:style w:type="paragraph" w:customStyle="1" w:styleId="28">
    <w:name w:val="Revision"/>
    <w:hidden/>
    <w:semiHidden/>
    <w:qFormat/>
    <w:uiPriority w:val="99"/>
    <w:rPr>
      <w:rFonts w:eastAsia="仿宋" w:asciiTheme="minorHAnsi" w:hAnsiTheme="minorHAnsi" w:cstheme="minorBidi"/>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195177-9E8D-4BFF-AB13-428567AE8E17}">
  <ds:schemaRefs/>
</ds:datastoreItem>
</file>

<file path=docProps/app.xml><?xml version="1.0" encoding="utf-8"?>
<Properties xmlns="http://schemas.openxmlformats.org/officeDocument/2006/extended-properties" xmlns:vt="http://schemas.openxmlformats.org/officeDocument/2006/docPropsVTypes">
  <Template>Normal.dotm</Template>
  <Pages>24</Pages>
  <Words>2037</Words>
  <Characters>11617</Characters>
  <Lines>96</Lines>
  <Paragraphs>27</Paragraphs>
  <TotalTime>11</TotalTime>
  <ScaleCrop>false</ScaleCrop>
  <LinksUpToDate>false</LinksUpToDate>
  <CharactersWithSpaces>13627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2019-08-16T02:00:00Z</dcterms:created>
  <dc:creator>闫明相</dc:creator>
  <cp:lastModifiedBy>WH</cp:lastModifiedBy>
  <cp:lastPrinted>2022-01-14T00:54:00Z</cp:lastPrinted>
  <dcterms:modified xsi:type="dcterms:W3CDTF">2022-01-26T02:39:24Z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A65FB145B79E4AAB94CAC6DD826F658B</vt:lpwstr>
  </property>
</Properties>
</file>